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69317" w14:textId="77777777" w:rsidR="00701A3B" w:rsidRDefault="00701A3B">
      <w:pPr>
        <w:rPr>
          <w:rFonts w:ascii="Times New Roman" w:hAnsi="Times New Roman" w:cs="Times New Roman"/>
          <w:sz w:val="28"/>
          <w:szCs w:val="28"/>
        </w:rPr>
      </w:pPr>
    </w:p>
    <w:p w14:paraId="7F3CCECA" w14:textId="77777777" w:rsidR="00701A3B" w:rsidRDefault="00701A3B">
      <w:pPr>
        <w:rPr>
          <w:rFonts w:ascii="Times New Roman" w:hAnsi="Times New Roman" w:cs="Times New Roman"/>
          <w:sz w:val="28"/>
          <w:szCs w:val="28"/>
        </w:rPr>
      </w:pPr>
    </w:p>
    <w:p w14:paraId="5AD61930" w14:textId="77777777" w:rsidR="00701A3B" w:rsidRDefault="00701A3B">
      <w:pPr>
        <w:rPr>
          <w:rFonts w:ascii="Times New Roman" w:hAnsi="Times New Roman" w:cs="Times New Roman"/>
          <w:sz w:val="28"/>
          <w:szCs w:val="28"/>
        </w:rPr>
      </w:pPr>
    </w:p>
    <w:p w14:paraId="14F7A8F6" w14:textId="77777777" w:rsidR="00701A3B" w:rsidRDefault="00701A3B">
      <w:pPr>
        <w:rPr>
          <w:rFonts w:ascii="Times New Roman" w:hAnsi="Times New Roman" w:cs="Times New Roman"/>
          <w:sz w:val="28"/>
          <w:szCs w:val="28"/>
        </w:rPr>
      </w:pPr>
    </w:p>
    <w:p w14:paraId="7DF5A089" w14:textId="77777777" w:rsidR="00701A3B" w:rsidRDefault="00701A3B">
      <w:pPr>
        <w:rPr>
          <w:rFonts w:ascii="Times New Roman" w:hAnsi="Times New Roman" w:cs="Times New Roman"/>
          <w:sz w:val="28"/>
          <w:szCs w:val="28"/>
        </w:rPr>
      </w:pPr>
    </w:p>
    <w:p w14:paraId="531C970A" w14:textId="0ADB2A6F" w:rsidR="00701A3B" w:rsidRPr="008D2590" w:rsidRDefault="00701A3B" w:rsidP="00701A3B">
      <w:pPr>
        <w:jc w:val="center"/>
        <w:rPr>
          <w:rFonts w:ascii="Times New Roman" w:hAnsi="Times New Roman" w:cs="Times New Roman"/>
          <w:b/>
          <w:caps/>
          <w:sz w:val="32"/>
          <w:szCs w:val="32"/>
        </w:rPr>
      </w:pPr>
      <w:r w:rsidRPr="008D2590">
        <w:rPr>
          <w:rFonts w:ascii="Times New Roman" w:hAnsi="Times New Roman" w:cs="Times New Roman"/>
          <w:b/>
          <w:caps/>
          <w:sz w:val="32"/>
          <w:szCs w:val="32"/>
        </w:rPr>
        <w:t>On Aggregate Composite Indicators</w:t>
      </w:r>
    </w:p>
    <w:p w14:paraId="62911F60" w14:textId="77777777" w:rsidR="00701A3B" w:rsidRDefault="00701A3B" w:rsidP="00701A3B">
      <w:pPr>
        <w:jc w:val="center"/>
        <w:rPr>
          <w:rFonts w:ascii="Times New Roman" w:hAnsi="Times New Roman" w:cs="Times New Roman"/>
          <w:sz w:val="28"/>
          <w:szCs w:val="28"/>
        </w:rPr>
      </w:pPr>
    </w:p>
    <w:p w14:paraId="746D9704" w14:textId="77777777" w:rsidR="00701A3B" w:rsidRDefault="00701A3B" w:rsidP="00701A3B">
      <w:pPr>
        <w:jc w:val="center"/>
        <w:rPr>
          <w:rFonts w:ascii="Times New Roman" w:hAnsi="Times New Roman" w:cs="Times New Roman"/>
          <w:sz w:val="28"/>
          <w:szCs w:val="28"/>
        </w:rPr>
      </w:pPr>
    </w:p>
    <w:p w14:paraId="2B4758EF" w14:textId="77777777" w:rsidR="00701A3B" w:rsidRDefault="00701A3B" w:rsidP="00701A3B">
      <w:pPr>
        <w:jc w:val="center"/>
        <w:rPr>
          <w:rFonts w:ascii="Times New Roman" w:hAnsi="Times New Roman" w:cs="Times New Roman"/>
          <w:sz w:val="28"/>
          <w:szCs w:val="28"/>
        </w:rPr>
      </w:pPr>
    </w:p>
    <w:p w14:paraId="2143BFD5" w14:textId="77777777" w:rsidR="00995EA0" w:rsidRDefault="00995EA0" w:rsidP="00701A3B">
      <w:pPr>
        <w:jc w:val="center"/>
        <w:rPr>
          <w:rFonts w:ascii="Times New Roman" w:hAnsi="Times New Roman" w:cs="Times New Roman"/>
          <w:sz w:val="28"/>
          <w:szCs w:val="28"/>
        </w:rPr>
      </w:pPr>
    </w:p>
    <w:p w14:paraId="3F231A35" w14:textId="77777777" w:rsidR="00995EA0" w:rsidRDefault="00995EA0" w:rsidP="00701A3B">
      <w:pPr>
        <w:jc w:val="center"/>
        <w:rPr>
          <w:rFonts w:ascii="Times New Roman" w:hAnsi="Times New Roman" w:cs="Times New Roman"/>
          <w:sz w:val="28"/>
          <w:szCs w:val="28"/>
        </w:rPr>
      </w:pPr>
    </w:p>
    <w:p w14:paraId="66B22EC6" w14:textId="77777777" w:rsidR="00995EA0" w:rsidRDefault="00995EA0" w:rsidP="00C54C2A">
      <w:pPr>
        <w:rPr>
          <w:rFonts w:ascii="Times New Roman" w:hAnsi="Times New Roman" w:cs="Times New Roman"/>
          <w:sz w:val="28"/>
          <w:szCs w:val="28"/>
        </w:rPr>
      </w:pPr>
    </w:p>
    <w:p w14:paraId="6B2B92A0" w14:textId="77777777" w:rsidR="00701A3B" w:rsidRDefault="00701A3B" w:rsidP="00701A3B">
      <w:pPr>
        <w:jc w:val="center"/>
        <w:rPr>
          <w:rFonts w:ascii="Times New Roman" w:hAnsi="Times New Roman" w:cs="Times New Roman"/>
          <w:sz w:val="28"/>
          <w:szCs w:val="28"/>
        </w:rPr>
      </w:pPr>
    </w:p>
    <w:p w14:paraId="3F5A52A9" w14:textId="5BD89273" w:rsidR="00701A3B" w:rsidRPr="000D0C3F" w:rsidRDefault="00701A3B" w:rsidP="00701A3B">
      <w:pPr>
        <w:spacing w:line="360" w:lineRule="auto"/>
        <w:jc w:val="center"/>
        <w:rPr>
          <w:rFonts w:ascii="Times New Roman" w:hAnsi="Times New Roman" w:cs="Times New Roman"/>
        </w:rPr>
      </w:pPr>
      <w:proofErr w:type="spellStart"/>
      <w:r w:rsidRPr="000D0C3F">
        <w:rPr>
          <w:rFonts w:ascii="Times New Roman" w:hAnsi="Times New Roman" w:cs="Times New Roman"/>
        </w:rPr>
        <w:t>Giannis</w:t>
      </w:r>
      <w:proofErr w:type="spellEnd"/>
      <w:r w:rsidRPr="000D0C3F">
        <w:rPr>
          <w:rFonts w:ascii="Times New Roman" w:hAnsi="Times New Roman" w:cs="Times New Roman"/>
        </w:rPr>
        <w:t xml:space="preserve"> </w:t>
      </w:r>
      <w:proofErr w:type="spellStart"/>
      <w:r w:rsidRPr="000D0C3F">
        <w:rPr>
          <w:rFonts w:ascii="Times New Roman" w:hAnsi="Times New Roman" w:cs="Times New Roman"/>
        </w:rPr>
        <w:t>Karagiannis</w:t>
      </w:r>
      <w:proofErr w:type="spellEnd"/>
    </w:p>
    <w:p w14:paraId="0721E2B5" w14:textId="77777777" w:rsidR="00701A3B" w:rsidRPr="000D0C3F" w:rsidRDefault="00701A3B" w:rsidP="00701A3B">
      <w:pPr>
        <w:spacing w:line="360" w:lineRule="auto"/>
        <w:jc w:val="center"/>
        <w:rPr>
          <w:rFonts w:ascii="Times New Roman" w:hAnsi="Times New Roman" w:cs="Times New Roman"/>
        </w:rPr>
      </w:pPr>
    </w:p>
    <w:p w14:paraId="11C41838" w14:textId="30C09879" w:rsidR="00701A3B" w:rsidRPr="000D0C3F" w:rsidRDefault="00701A3B" w:rsidP="00701A3B">
      <w:pPr>
        <w:rPr>
          <w:rFonts w:ascii="Times New Roman" w:hAnsi="Times New Roman" w:cs="Times New Roman"/>
        </w:rPr>
      </w:pPr>
      <w:r w:rsidRPr="000D0C3F">
        <w:rPr>
          <w:rFonts w:ascii="Times New Roman" w:hAnsi="Times New Roman" w:cs="Times New Roman"/>
        </w:rPr>
        <w:t xml:space="preserve">Professor, Department of Economics, University of Macedonia, 156 </w:t>
      </w:r>
      <w:proofErr w:type="spellStart"/>
      <w:r w:rsidRPr="000D0C3F">
        <w:rPr>
          <w:rFonts w:ascii="Times New Roman" w:hAnsi="Times New Roman" w:cs="Times New Roman"/>
        </w:rPr>
        <w:t>Egnatia</w:t>
      </w:r>
      <w:proofErr w:type="spellEnd"/>
      <w:r w:rsidRPr="000D0C3F">
        <w:rPr>
          <w:rFonts w:ascii="Times New Roman" w:hAnsi="Times New Roman" w:cs="Times New Roman"/>
        </w:rPr>
        <w:t xml:space="preserve"> Str. Thessaloniki, 54006 GREECE; </w:t>
      </w:r>
      <w:hyperlink r:id="rId9" w:history="1">
        <w:r w:rsidRPr="00042E15">
          <w:rPr>
            <w:rStyle w:val="Hyperlink"/>
            <w:rFonts w:ascii="Times New Roman" w:hAnsi="Times New Roman" w:cs="Times New Roman"/>
          </w:rPr>
          <w:t>karagian@uom.gr</w:t>
        </w:r>
      </w:hyperlink>
      <w:r>
        <w:rPr>
          <w:rFonts w:ascii="Times New Roman" w:hAnsi="Times New Roman" w:cs="Times New Roman"/>
        </w:rPr>
        <w:t xml:space="preserve">; ++30-2310-891759 </w:t>
      </w:r>
    </w:p>
    <w:p w14:paraId="01B58065" w14:textId="77777777" w:rsidR="00701A3B" w:rsidRDefault="00701A3B" w:rsidP="00701A3B">
      <w:pPr>
        <w:jc w:val="center"/>
        <w:rPr>
          <w:rFonts w:ascii="Times New Roman" w:hAnsi="Times New Roman" w:cs="Times New Roman"/>
          <w:sz w:val="28"/>
          <w:szCs w:val="28"/>
        </w:rPr>
      </w:pPr>
    </w:p>
    <w:p w14:paraId="2B0B5C2A" w14:textId="77777777" w:rsidR="00701A3B" w:rsidRDefault="00701A3B" w:rsidP="00701A3B">
      <w:pPr>
        <w:jc w:val="center"/>
        <w:rPr>
          <w:rFonts w:ascii="Times New Roman" w:hAnsi="Times New Roman" w:cs="Times New Roman"/>
          <w:sz w:val="28"/>
          <w:szCs w:val="28"/>
        </w:rPr>
      </w:pPr>
    </w:p>
    <w:p w14:paraId="6DDB76F2" w14:textId="77777777" w:rsidR="00701A3B" w:rsidRDefault="00701A3B" w:rsidP="00701A3B">
      <w:pPr>
        <w:jc w:val="center"/>
        <w:rPr>
          <w:rFonts w:ascii="Times New Roman" w:hAnsi="Times New Roman" w:cs="Times New Roman"/>
          <w:sz w:val="28"/>
          <w:szCs w:val="28"/>
        </w:rPr>
      </w:pPr>
    </w:p>
    <w:p w14:paraId="5CB95A6A" w14:textId="77777777" w:rsidR="00995EA0" w:rsidRDefault="00995EA0" w:rsidP="00701A3B">
      <w:pPr>
        <w:jc w:val="center"/>
        <w:rPr>
          <w:rFonts w:ascii="Times New Roman" w:hAnsi="Times New Roman" w:cs="Times New Roman"/>
          <w:sz w:val="28"/>
          <w:szCs w:val="28"/>
        </w:rPr>
      </w:pPr>
    </w:p>
    <w:p w14:paraId="4DCE7158" w14:textId="77777777" w:rsidR="00995EA0" w:rsidRDefault="00995EA0" w:rsidP="00701A3B">
      <w:pPr>
        <w:jc w:val="center"/>
        <w:rPr>
          <w:rFonts w:ascii="Times New Roman" w:hAnsi="Times New Roman" w:cs="Times New Roman"/>
          <w:sz w:val="28"/>
          <w:szCs w:val="28"/>
        </w:rPr>
      </w:pPr>
    </w:p>
    <w:p w14:paraId="176F21E5" w14:textId="77777777" w:rsidR="00701A3B" w:rsidRDefault="00701A3B" w:rsidP="00701A3B">
      <w:pPr>
        <w:jc w:val="center"/>
        <w:rPr>
          <w:rFonts w:ascii="Times New Roman" w:hAnsi="Times New Roman" w:cs="Times New Roman"/>
          <w:sz w:val="28"/>
          <w:szCs w:val="28"/>
        </w:rPr>
      </w:pPr>
    </w:p>
    <w:p w14:paraId="1D740AF6" w14:textId="06D6715E" w:rsidR="00701A3B" w:rsidRPr="00F324D8" w:rsidRDefault="00701A3B" w:rsidP="00701A3B">
      <w:pPr>
        <w:jc w:val="both"/>
        <w:rPr>
          <w:rFonts w:ascii="Times New Roman" w:hAnsi="Times New Roman" w:cs="Times New Roman"/>
        </w:rPr>
      </w:pPr>
      <w:r w:rsidRPr="00F324D8">
        <w:rPr>
          <w:rFonts w:ascii="Times New Roman" w:hAnsi="Times New Roman" w:cs="Times New Roman"/>
        </w:rPr>
        <w:t xml:space="preserve">ABSTRACT: In this </w:t>
      </w:r>
      <w:r w:rsidR="00864219">
        <w:rPr>
          <w:rFonts w:ascii="Times New Roman" w:hAnsi="Times New Roman" w:cs="Times New Roman"/>
        </w:rPr>
        <w:t>paper it is</w:t>
      </w:r>
      <w:r>
        <w:rPr>
          <w:rFonts w:ascii="Times New Roman" w:hAnsi="Times New Roman" w:cs="Times New Roman"/>
        </w:rPr>
        <w:t xml:space="preserve"> show</w:t>
      </w:r>
      <w:r w:rsidR="00864219">
        <w:rPr>
          <w:rFonts w:ascii="Times New Roman" w:hAnsi="Times New Roman" w:cs="Times New Roman"/>
        </w:rPr>
        <w:t>n</w:t>
      </w:r>
      <w:r>
        <w:rPr>
          <w:rFonts w:ascii="Times New Roman" w:hAnsi="Times New Roman" w:cs="Times New Roman"/>
        </w:rPr>
        <w:t xml:space="preserve"> that the </w:t>
      </w:r>
      <w:r w:rsidR="00995EA0">
        <w:rPr>
          <w:rFonts w:ascii="Times New Roman" w:hAnsi="Times New Roman" w:cs="Times New Roman"/>
        </w:rPr>
        <w:t xml:space="preserve">un-weighted </w:t>
      </w:r>
      <w:r>
        <w:rPr>
          <w:rFonts w:ascii="Times New Roman" w:hAnsi="Times New Roman" w:cs="Times New Roman"/>
        </w:rPr>
        <w:t>arithmetic average is the theoretical</w:t>
      </w:r>
      <w:r w:rsidR="00995EA0">
        <w:rPr>
          <w:rFonts w:ascii="Times New Roman" w:hAnsi="Times New Roman" w:cs="Times New Roman"/>
        </w:rPr>
        <w:t>ly</w:t>
      </w:r>
      <w:r>
        <w:rPr>
          <w:rFonts w:ascii="Times New Roman" w:hAnsi="Times New Roman" w:cs="Times New Roman"/>
        </w:rPr>
        <w:t xml:space="preserve"> consistent scheme to aggregate </w:t>
      </w:r>
      <w:r w:rsidR="00995EA0">
        <w:rPr>
          <w:rFonts w:ascii="Times New Roman" w:hAnsi="Times New Roman" w:cs="Times New Roman"/>
        </w:rPr>
        <w:t>composite indicators</w:t>
      </w:r>
      <w:r w:rsidR="00D973E0">
        <w:rPr>
          <w:rFonts w:ascii="Times New Roman" w:hAnsi="Times New Roman" w:cs="Times New Roman"/>
        </w:rPr>
        <w:t>,</w:t>
      </w:r>
      <w:r w:rsidR="00995EA0">
        <w:rPr>
          <w:rFonts w:ascii="Times New Roman" w:hAnsi="Times New Roman" w:cs="Times New Roman"/>
        </w:rPr>
        <w:t xml:space="preserve"> derive</w:t>
      </w:r>
      <w:r w:rsidR="00D973E0">
        <w:rPr>
          <w:rFonts w:ascii="Times New Roman" w:hAnsi="Times New Roman" w:cs="Times New Roman"/>
        </w:rPr>
        <w:t>d from the benefit-of-the-doubt</w:t>
      </w:r>
      <w:r w:rsidR="00995EA0">
        <w:rPr>
          <w:rFonts w:ascii="Times New Roman" w:hAnsi="Times New Roman" w:cs="Times New Roman"/>
        </w:rPr>
        <w:t xml:space="preserve"> (</w:t>
      </w:r>
      <w:proofErr w:type="spellStart"/>
      <w:r w:rsidR="00995EA0">
        <w:rPr>
          <w:rFonts w:ascii="Times New Roman" w:hAnsi="Times New Roman" w:cs="Times New Roman"/>
        </w:rPr>
        <w:t>BoD</w:t>
      </w:r>
      <w:proofErr w:type="spellEnd"/>
      <w:r w:rsidR="00995EA0">
        <w:rPr>
          <w:rFonts w:ascii="Times New Roman" w:hAnsi="Times New Roman" w:cs="Times New Roman"/>
        </w:rPr>
        <w:t>) model</w:t>
      </w:r>
      <w:r w:rsidR="00D973E0">
        <w:rPr>
          <w:rFonts w:ascii="Times New Roman" w:hAnsi="Times New Roman" w:cs="Times New Roman"/>
        </w:rPr>
        <w:t>, across decision-making units</w:t>
      </w:r>
      <w:r w:rsidRPr="00F324D8">
        <w:rPr>
          <w:rFonts w:ascii="Times New Roman" w:hAnsi="Times New Roman" w:cs="Times New Roman"/>
        </w:rPr>
        <w:t>.</w:t>
      </w:r>
    </w:p>
    <w:p w14:paraId="07D53EC3" w14:textId="77777777" w:rsidR="00701A3B" w:rsidRDefault="00701A3B" w:rsidP="00701A3B">
      <w:pPr>
        <w:jc w:val="both"/>
        <w:rPr>
          <w:rFonts w:ascii="Times New Roman" w:hAnsi="Times New Roman" w:cs="Times New Roman"/>
        </w:rPr>
      </w:pPr>
    </w:p>
    <w:p w14:paraId="1AD56595" w14:textId="77777777" w:rsidR="00701A3B" w:rsidRDefault="00701A3B" w:rsidP="00701A3B">
      <w:pPr>
        <w:jc w:val="both"/>
        <w:rPr>
          <w:rFonts w:ascii="Times New Roman" w:hAnsi="Times New Roman" w:cs="Times New Roman"/>
        </w:rPr>
      </w:pPr>
    </w:p>
    <w:p w14:paraId="07A6B516" w14:textId="77777777" w:rsidR="00701A3B" w:rsidRPr="00F324D8" w:rsidRDefault="00701A3B" w:rsidP="00701A3B">
      <w:pPr>
        <w:jc w:val="both"/>
        <w:rPr>
          <w:rFonts w:ascii="Times New Roman" w:hAnsi="Times New Roman" w:cs="Times New Roman"/>
        </w:rPr>
      </w:pPr>
    </w:p>
    <w:p w14:paraId="217DCA10" w14:textId="4F72B2AA" w:rsidR="00701A3B" w:rsidRPr="00F324D8" w:rsidRDefault="00C54C2A" w:rsidP="00701A3B">
      <w:pPr>
        <w:ind w:left="1560" w:hanging="1560"/>
        <w:jc w:val="both"/>
        <w:rPr>
          <w:rFonts w:ascii="Times New Roman" w:hAnsi="Times New Roman" w:cs="Times New Roman"/>
        </w:rPr>
      </w:pPr>
      <w:r>
        <w:rPr>
          <w:rFonts w:ascii="Times New Roman" w:hAnsi="Times New Roman" w:cs="Times New Roman"/>
        </w:rPr>
        <w:t>KEYWORDS: Composite I</w:t>
      </w:r>
      <w:r w:rsidR="00D973E0">
        <w:rPr>
          <w:rFonts w:ascii="Times New Roman" w:hAnsi="Times New Roman" w:cs="Times New Roman"/>
        </w:rPr>
        <w:t>ndicators; Benefit-of-the-doubt</w:t>
      </w:r>
      <w:r>
        <w:rPr>
          <w:rFonts w:ascii="Times New Roman" w:hAnsi="Times New Roman" w:cs="Times New Roman"/>
        </w:rPr>
        <w:t xml:space="preserve"> </w:t>
      </w:r>
      <w:r w:rsidR="00995EA0">
        <w:rPr>
          <w:rFonts w:ascii="Times New Roman" w:hAnsi="Times New Roman" w:cs="Times New Roman"/>
        </w:rPr>
        <w:t>model</w:t>
      </w:r>
      <w:r w:rsidR="00701A3B" w:rsidRPr="00F324D8">
        <w:rPr>
          <w:rFonts w:ascii="Times New Roman" w:hAnsi="Times New Roman" w:cs="Times New Roman"/>
        </w:rPr>
        <w:t xml:space="preserve">; </w:t>
      </w:r>
      <w:r w:rsidR="00864219">
        <w:rPr>
          <w:rFonts w:ascii="Times New Roman" w:hAnsi="Times New Roman" w:cs="Times New Roman"/>
        </w:rPr>
        <w:t>Aggregation across decision-</w:t>
      </w:r>
      <w:r w:rsidR="008B7EBA">
        <w:rPr>
          <w:rFonts w:ascii="Times New Roman" w:hAnsi="Times New Roman" w:cs="Times New Roman"/>
        </w:rPr>
        <w:t>making u</w:t>
      </w:r>
      <w:r w:rsidR="00995EA0">
        <w:rPr>
          <w:rFonts w:ascii="Times New Roman" w:hAnsi="Times New Roman" w:cs="Times New Roman"/>
        </w:rPr>
        <w:t>nits</w:t>
      </w:r>
    </w:p>
    <w:p w14:paraId="71BD7CB6" w14:textId="77777777" w:rsidR="00701A3B" w:rsidRPr="00F324D8" w:rsidRDefault="00701A3B" w:rsidP="00701A3B">
      <w:pPr>
        <w:jc w:val="both"/>
        <w:rPr>
          <w:rFonts w:ascii="Times New Roman" w:hAnsi="Times New Roman" w:cs="Times New Roman"/>
        </w:rPr>
      </w:pPr>
    </w:p>
    <w:p w14:paraId="0D66351A" w14:textId="68BDC24D" w:rsidR="00701A3B" w:rsidRDefault="00701A3B" w:rsidP="00701A3B">
      <w:pPr>
        <w:jc w:val="both"/>
        <w:rPr>
          <w:rFonts w:ascii="Times New Roman" w:hAnsi="Times New Roman" w:cs="Times New Roman"/>
        </w:rPr>
      </w:pPr>
    </w:p>
    <w:p w14:paraId="5CE13DA4" w14:textId="77777777" w:rsidR="00F73C4C" w:rsidRDefault="00F73C4C" w:rsidP="00701A3B">
      <w:pPr>
        <w:jc w:val="both"/>
        <w:rPr>
          <w:rFonts w:ascii="Times New Roman" w:hAnsi="Times New Roman" w:cs="Times New Roman"/>
          <w:color w:val="0E0E0E"/>
        </w:rPr>
      </w:pPr>
    </w:p>
    <w:p w14:paraId="4806A7BA" w14:textId="77777777" w:rsidR="00F73C4C" w:rsidRDefault="00F73C4C" w:rsidP="00701A3B">
      <w:pPr>
        <w:jc w:val="both"/>
        <w:rPr>
          <w:rFonts w:ascii="Times New Roman" w:hAnsi="Times New Roman" w:cs="Times New Roman"/>
          <w:color w:val="0E0E0E"/>
        </w:rPr>
      </w:pPr>
    </w:p>
    <w:p w14:paraId="4C7A82D6" w14:textId="438C3075" w:rsidR="00B94CDF" w:rsidRPr="00B94CDF" w:rsidRDefault="00B94CDF" w:rsidP="00701A3B">
      <w:pPr>
        <w:jc w:val="both"/>
        <w:rPr>
          <w:rFonts w:ascii="Times New Roman" w:hAnsi="Times New Roman" w:cs="Times New Roman"/>
        </w:rPr>
      </w:pPr>
      <w:r>
        <w:rPr>
          <w:rFonts w:ascii="Times New Roman" w:hAnsi="Times New Roman" w:cs="Times New Roman"/>
          <w:color w:val="0E0E0E"/>
        </w:rPr>
        <w:t>AKNOWLEDGMENT: T</w:t>
      </w:r>
      <w:r w:rsidRPr="00B94CDF">
        <w:rPr>
          <w:rFonts w:ascii="Times New Roman" w:hAnsi="Times New Roman" w:cs="Times New Roman"/>
          <w:color w:val="0E0E0E"/>
        </w:rPr>
        <w:t>his research has been co-financed by the European Union (European Social Fund ESF) and Greek national funds through the Operational Program “Education and Lifelong Learning” of the National Strategic Reference Framework (NSRF) – Re</w:t>
      </w:r>
      <w:r w:rsidR="00216010">
        <w:rPr>
          <w:rFonts w:ascii="Times New Roman" w:hAnsi="Times New Roman" w:cs="Times New Roman"/>
          <w:color w:val="0E0E0E"/>
        </w:rPr>
        <w:t>search Funding Program: THALES-</w:t>
      </w:r>
      <w:r w:rsidRPr="00B94CDF">
        <w:rPr>
          <w:rFonts w:ascii="Times New Roman" w:hAnsi="Times New Roman" w:cs="Times New Roman"/>
          <w:color w:val="0E0E0E"/>
        </w:rPr>
        <w:t>Investing in</w:t>
      </w:r>
      <w:r>
        <w:rPr>
          <w:rFonts w:ascii="Times New Roman" w:hAnsi="Times New Roman" w:cs="Times New Roman"/>
          <w:color w:val="0E0E0E"/>
        </w:rPr>
        <w:t xml:space="preserve"> K</w:t>
      </w:r>
      <w:r w:rsidRPr="00B94CDF">
        <w:rPr>
          <w:rFonts w:ascii="Times New Roman" w:hAnsi="Times New Roman" w:cs="Times New Roman"/>
          <w:color w:val="0E0E0E"/>
        </w:rPr>
        <w:t>nowledge</w:t>
      </w:r>
      <w:r>
        <w:rPr>
          <w:rFonts w:ascii="Times New Roman" w:hAnsi="Times New Roman" w:cs="Times New Roman"/>
          <w:color w:val="0E0E0E"/>
        </w:rPr>
        <w:t xml:space="preserve"> S</w:t>
      </w:r>
      <w:r w:rsidRPr="00B94CDF">
        <w:rPr>
          <w:rFonts w:ascii="Times New Roman" w:hAnsi="Times New Roman" w:cs="Times New Roman"/>
          <w:color w:val="0E0E0E"/>
        </w:rPr>
        <w:t>ociety through the European Social Fund.</w:t>
      </w:r>
    </w:p>
    <w:p w14:paraId="336EA745" w14:textId="77777777" w:rsidR="00995EA0" w:rsidRDefault="00995EA0" w:rsidP="00701A3B">
      <w:pPr>
        <w:jc w:val="center"/>
        <w:rPr>
          <w:rFonts w:ascii="Times New Roman" w:hAnsi="Times New Roman" w:cs="Times New Roman"/>
          <w:sz w:val="28"/>
          <w:szCs w:val="28"/>
        </w:rPr>
      </w:pPr>
    </w:p>
    <w:p w14:paraId="3713C8A6" w14:textId="77777777" w:rsidR="00995EA0" w:rsidRDefault="00995EA0" w:rsidP="00701A3B">
      <w:pPr>
        <w:jc w:val="center"/>
        <w:rPr>
          <w:rFonts w:ascii="Times New Roman" w:hAnsi="Times New Roman" w:cs="Times New Roman"/>
          <w:sz w:val="28"/>
          <w:szCs w:val="28"/>
        </w:rPr>
      </w:pPr>
    </w:p>
    <w:p w14:paraId="3DF94305" w14:textId="77777777" w:rsidR="00995EA0" w:rsidRDefault="00995EA0" w:rsidP="00F73C4C">
      <w:pPr>
        <w:rPr>
          <w:rFonts w:ascii="Times New Roman" w:hAnsi="Times New Roman" w:cs="Times New Roman"/>
          <w:sz w:val="28"/>
          <w:szCs w:val="28"/>
        </w:rPr>
      </w:pPr>
    </w:p>
    <w:p w14:paraId="20C87162" w14:textId="77777777" w:rsidR="00995EA0" w:rsidRDefault="00995EA0" w:rsidP="00B94CDF">
      <w:pPr>
        <w:rPr>
          <w:rFonts w:ascii="Times New Roman" w:hAnsi="Times New Roman" w:cs="Times New Roman"/>
          <w:sz w:val="28"/>
          <w:szCs w:val="28"/>
        </w:rPr>
      </w:pPr>
    </w:p>
    <w:p w14:paraId="4A21F7F4" w14:textId="25DAECA1" w:rsidR="00C54C2A" w:rsidRPr="00B94CDF" w:rsidRDefault="002A4EB8" w:rsidP="00B94CDF">
      <w:pPr>
        <w:jc w:val="center"/>
        <w:rPr>
          <w:rFonts w:ascii="Times New Roman" w:hAnsi="Times New Roman" w:cs="Times New Roman"/>
        </w:rPr>
      </w:pPr>
      <w:r>
        <w:rPr>
          <w:rFonts w:ascii="Times New Roman" w:hAnsi="Times New Roman" w:cs="Times New Roman"/>
        </w:rPr>
        <w:t>December</w:t>
      </w:r>
      <w:r w:rsidR="00703512" w:rsidRPr="00864219">
        <w:rPr>
          <w:rFonts w:ascii="Times New Roman" w:hAnsi="Times New Roman" w:cs="Times New Roman"/>
        </w:rPr>
        <w:t xml:space="preserve"> 2015</w:t>
      </w:r>
      <w:r w:rsidR="00C54C2A">
        <w:rPr>
          <w:rFonts w:ascii="Times New Roman" w:hAnsi="Times New Roman" w:cs="Times New Roman"/>
          <w:sz w:val="28"/>
          <w:szCs w:val="28"/>
        </w:rPr>
        <w:br w:type="page"/>
      </w:r>
    </w:p>
    <w:p w14:paraId="693C7170" w14:textId="666EF7B6" w:rsidR="00E170E3" w:rsidRDefault="00603E83" w:rsidP="00701A3B">
      <w:pPr>
        <w:jc w:val="center"/>
        <w:rPr>
          <w:rFonts w:ascii="Times New Roman" w:hAnsi="Times New Roman" w:cs="Times New Roman"/>
          <w:sz w:val="28"/>
          <w:szCs w:val="28"/>
        </w:rPr>
      </w:pPr>
      <w:r>
        <w:rPr>
          <w:rFonts w:ascii="Times New Roman" w:hAnsi="Times New Roman" w:cs="Times New Roman"/>
          <w:sz w:val="28"/>
          <w:szCs w:val="28"/>
        </w:rPr>
        <w:lastRenderedPageBreak/>
        <w:t>On Aggregate</w:t>
      </w:r>
      <w:r w:rsidR="001131D9" w:rsidRPr="001131D9">
        <w:rPr>
          <w:rFonts w:ascii="Times New Roman" w:hAnsi="Times New Roman" w:cs="Times New Roman"/>
          <w:sz w:val="28"/>
          <w:szCs w:val="28"/>
        </w:rPr>
        <w:t xml:space="preserve"> Composite Indicators</w:t>
      </w:r>
    </w:p>
    <w:p w14:paraId="4ED8BC1D" w14:textId="77777777" w:rsidR="001131D9" w:rsidRDefault="001131D9" w:rsidP="001131D9">
      <w:pPr>
        <w:jc w:val="center"/>
        <w:rPr>
          <w:rFonts w:ascii="Times New Roman" w:hAnsi="Times New Roman" w:cs="Times New Roman"/>
          <w:sz w:val="28"/>
          <w:szCs w:val="28"/>
        </w:rPr>
      </w:pPr>
    </w:p>
    <w:p w14:paraId="6BB589FC" w14:textId="77777777" w:rsidR="001131D9" w:rsidRDefault="001131D9" w:rsidP="001131D9">
      <w:pPr>
        <w:jc w:val="center"/>
        <w:rPr>
          <w:rFonts w:ascii="Times New Roman" w:hAnsi="Times New Roman" w:cs="Times New Roman"/>
          <w:sz w:val="28"/>
          <w:szCs w:val="28"/>
        </w:rPr>
      </w:pPr>
    </w:p>
    <w:p w14:paraId="2E7B8681" w14:textId="77777777" w:rsidR="001131D9" w:rsidRDefault="001131D9" w:rsidP="001131D9">
      <w:pPr>
        <w:jc w:val="center"/>
        <w:rPr>
          <w:rFonts w:ascii="Times New Roman" w:hAnsi="Times New Roman" w:cs="Times New Roman"/>
          <w:sz w:val="28"/>
          <w:szCs w:val="28"/>
        </w:rPr>
      </w:pPr>
    </w:p>
    <w:p w14:paraId="4F723599" w14:textId="77777777" w:rsidR="00113624" w:rsidRDefault="00113624" w:rsidP="001131D9">
      <w:pPr>
        <w:jc w:val="center"/>
        <w:rPr>
          <w:rFonts w:ascii="Times New Roman" w:hAnsi="Times New Roman" w:cs="Times New Roman"/>
          <w:sz w:val="28"/>
          <w:szCs w:val="28"/>
        </w:rPr>
      </w:pPr>
    </w:p>
    <w:p w14:paraId="34AFD25E" w14:textId="77777777" w:rsidR="00431567" w:rsidRDefault="00431567" w:rsidP="001131D9">
      <w:pPr>
        <w:jc w:val="center"/>
        <w:rPr>
          <w:rFonts w:ascii="Times New Roman" w:hAnsi="Times New Roman" w:cs="Times New Roman"/>
          <w:sz w:val="28"/>
          <w:szCs w:val="28"/>
        </w:rPr>
      </w:pPr>
    </w:p>
    <w:p w14:paraId="58263185" w14:textId="77777777" w:rsidR="00431567" w:rsidRDefault="00431567" w:rsidP="001131D9">
      <w:pPr>
        <w:jc w:val="center"/>
        <w:rPr>
          <w:rFonts w:ascii="Times New Roman" w:hAnsi="Times New Roman" w:cs="Times New Roman"/>
          <w:sz w:val="28"/>
          <w:szCs w:val="28"/>
        </w:rPr>
      </w:pPr>
    </w:p>
    <w:p w14:paraId="580EF5B9" w14:textId="77777777" w:rsidR="002E2D9A" w:rsidRDefault="002E2D9A" w:rsidP="001A4FD7">
      <w:pPr>
        <w:rPr>
          <w:rFonts w:ascii="Times New Roman" w:hAnsi="Times New Roman" w:cs="Times New Roman"/>
          <w:sz w:val="28"/>
          <w:szCs w:val="28"/>
        </w:rPr>
      </w:pPr>
    </w:p>
    <w:p w14:paraId="53E3C360" w14:textId="77777777" w:rsidR="001131D9" w:rsidRDefault="001131D9" w:rsidP="00431567">
      <w:pPr>
        <w:rPr>
          <w:rFonts w:ascii="Times New Roman" w:hAnsi="Times New Roman" w:cs="Times New Roman"/>
          <w:sz w:val="28"/>
          <w:szCs w:val="28"/>
        </w:rPr>
      </w:pPr>
    </w:p>
    <w:p w14:paraId="63CB22C6" w14:textId="77777777" w:rsidR="001131D9" w:rsidRPr="00596B32" w:rsidRDefault="001131D9" w:rsidP="001131D9">
      <w:pPr>
        <w:pStyle w:val="ListParagraph"/>
        <w:ind w:left="0"/>
        <w:rPr>
          <w:rFonts w:ascii="Times New Roman" w:hAnsi="Times New Roman" w:cs="Times New Roman"/>
          <w:b/>
        </w:rPr>
      </w:pPr>
      <w:r w:rsidRPr="00596B32">
        <w:rPr>
          <w:rFonts w:ascii="Times New Roman" w:hAnsi="Times New Roman" w:cs="Times New Roman"/>
          <w:b/>
        </w:rPr>
        <w:t>1. Introduction</w:t>
      </w:r>
    </w:p>
    <w:p w14:paraId="0301EB29" w14:textId="77777777" w:rsidR="001131D9" w:rsidRDefault="001131D9" w:rsidP="001131D9">
      <w:pPr>
        <w:rPr>
          <w:rFonts w:ascii="Times New Roman" w:hAnsi="Times New Roman" w:cs="Times New Roman"/>
        </w:rPr>
      </w:pPr>
    </w:p>
    <w:p w14:paraId="7BA74694" w14:textId="6382F899" w:rsidR="001131D9" w:rsidRDefault="006002CC" w:rsidP="00315892">
      <w:pPr>
        <w:spacing w:line="360" w:lineRule="auto"/>
        <w:jc w:val="both"/>
        <w:rPr>
          <w:rFonts w:ascii="Times New Roman" w:hAnsi="Times New Roman" w:cs="Times New Roman"/>
        </w:rPr>
      </w:pPr>
      <w:r>
        <w:rPr>
          <w:rFonts w:ascii="Times New Roman" w:hAnsi="Times New Roman" w:cs="Times New Roman"/>
        </w:rPr>
        <w:t>The Benefit</w:t>
      </w:r>
      <w:r w:rsidR="00712B86">
        <w:rPr>
          <w:rFonts w:ascii="Times New Roman" w:hAnsi="Times New Roman" w:cs="Times New Roman"/>
        </w:rPr>
        <w:t>-of-the-</w:t>
      </w:r>
      <w:r w:rsidR="00596B32">
        <w:rPr>
          <w:rFonts w:ascii="Times New Roman" w:hAnsi="Times New Roman" w:cs="Times New Roman"/>
        </w:rPr>
        <w:t>Doubt (</w:t>
      </w:r>
      <w:proofErr w:type="spellStart"/>
      <w:r w:rsidR="00596B32">
        <w:rPr>
          <w:rFonts w:ascii="Times New Roman" w:hAnsi="Times New Roman" w:cs="Times New Roman"/>
        </w:rPr>
        <w:t>Bo</w:t>
      </w:r>
      <w:r w:rsidR="00864219">
        <w:rPr>
          <w:rFonts w:ascii="Times New Roman" w:hAnsi="Times New Roman" w:cs="Times New Roman"/>
        </w:rPr>
        <w:t>D</w:t>
      </w:r>
      <w:proofErr w:type="spellEnd"/>
      <w:r w:rsidR="00864219">
        <w:rPr>
          <w:rFonts w:ascii="Times New Roman" w:hAnsi="Times New Roman" w:cs="Times New Roman"/>
        </w:rPr>
        <w:t>)</w:t>
      </w:r>
      <w:r>
        <w:rPr>
          <w:rFonts w:ascii="Times New Roman" w:hAnsi="Times New Roman" w:cs="Times New Roman"/>
        </w:rPr>
        <w:t xml:space="preserve"> is</w:t>
      </w:r>
      <w:r w:rsidR="00A455CA">
        <w:rPr>
          <w:rFonts w:ascii="Times New Roman" w:hAnsi="Times New Roman" w:cs="Times New Roman"/>
        </w:rPr>
        <w:t xml:space="preserve"> one of the four</w:t>
      </w:r>
      <w:r w:rsidR="00603E83">
        <w:rPr>
          <w:rFonts w:ascii="Times New Roman" w:hAnsi="Times New Roman" w:cs="Times New Roman"/>
        </w:rPr>
        <w:t xml:space="preserve"> </w:t>
      </w:r>
      <w:r w:rsidR="00D973E0">
        <w:rPr>
          <w:rFonts w:ascii="Times New Roman" w:hAnsi="Times New Roman" w:cs="Times New Roman"/>
        </w:rPr>
        <w:t>statistical model</w:t>
      </w:r>
      <w:r w:rsidR="00942B99">
        <w:rPr>
          <w:rFonts w:ascii="Times New Roman" w:hAnsi="Times New Roman" w:cs="Times New Roman"/>
        </w:rPr>
        <w:t xml:space="preserve">s </w:t>
      </w:r>
      <w:r>
        <w:rPr>
          <w:rFonts w:ascii="Times New Roman" w:hAnsi="Times New Roman" w:cs="Times New Roman"/>
        </w:rPr>
        <w:t>recommended</w:t>
      </w:r>
      <w:r w:rsidR="00603E83">
        <w:rPr>
          <w:rFonts w:ascii="Times New Roman" w:hAnsi="Times New Roman" w:cs="Times New Roman"/>
        </w:rPr>
        <w:t xml:space="preserve"> </w:t>
      </w:r>
      <w:r w:rsidR="00942B99">
        <w:rPr>
          <w:rFonts w:ascii="Times New Roman" w:hAnsi="Times New Roman" w:cs="Times New Roman"/>
        </w:rPr>
        <w:t>by</w:t>
      </w:r>
      <w:r w:rsidR="00603E83">
        <w:rPr>
          <w:rFonts w:ascii="Times New Roman" w:hAnsi="Times New Roman" w:cs="Times New Roman"/>
        </w:rPr>
        <w:t xml:space="preserve"> </w:t>
      </w:r>
      <w:r w:rsidR="00D973E0">
        <w:rPr>
          <w:rFonts w:ascii="Times New Roman" w:hAnsi="Times New Roman" w:cs="Times New Roman"/>
        </w:rPr>
        <w:t xml:space="preserve">the </w:t>
      </w:r>
      <w:r w:rsidR="00603E83">
        <w:rPr>
          <w:rFonts w:ascii="Times New Roman" w:hAnsi="Times New Roman" w:cs="Times New Roman"/>
        </w:rPr>
        <w:t xml:space="preserve">OECD </w:t>
      </w:r>
      <w:r w:rsidR="00864219">
        <w:rPr>
          <w:rFonts w:ascii="Times New Roman" w:hAnsi="Times New Roman" w:cs="Times New Roman"/>
        </w:rPr>
        <w:t>(2008)</w:t>
      </w:r>
      <w:r w:rsidR="00603E83">
        <w:rPr>
          <w:rFonts w:ascii="Times New Roman" w:hAnsi="Times New Roman" w:cs="Times New Roman"/>
        </w:rPr>
        <w:t xml:space="preserve"> </w:t>
      </w:r>
      <w:r w:rsidR="00315892">
        <w:rPr>
          <w:rFonts w:ascii="Times New Roman" w:hAnsi="Times New Roman" w:cs="Times New Roman"/>
        </w:rPr>
        <w:t>for</w:t>
      </w:r>
      <w:r w:rsidR="00603E83">
        <w:rPr>
          <w:rFonts w:ascii="Times New Roman" w:hAnsi="Times New Roman" w:cs="Times New Roman"/>
        </w:rPr>
        <w:t xml:space="preserve"> construct</w:t>
      </w:r>
      <w:r w:rsidR="00315892">
        <w:rPr>
          <w:rFonts w:ascii="Times New Roman" w:hAnsi="Times New Roman" w:cs="Times New Roman"/>
        </w:rPr>
        <w:t>ing</w:t>
      </w:r>
      <w:r w:rsidR="00596B32">
        <w:rPr>
          <w:rFonts w:ascii="Times New Roman" w:hAnsi="Times New Roman" w:cs="Times New Roman"/>
        </w:rPr>
        <w:t xml:space="preserve"> composite indicators</w:t>
      </w:r>
      <w:r w:rsidR="00A455CA">
        <w:rPr>
          <w:rFonts w:ascii="Times New Roman" w:hAnsi="Times New Roman" w:cs="Times New Roman"/>
        </w:rPr>
        <w:t>, with the other three being</w:t>
      </w:r>
      <w:r w:rsidR="00864219">
        <w:rPr>
          <w:rFonts w:ascii="Times New Roman" w:hAnsi="Times New Roman" w:cs="Times New Roman"/>
        </w:rPr>
        <w:t xml:space="preserve"> the</w:t>
      </w:r>
      <w:r w:rsidR="00A455CA">
        <w:rPr>
          <w:rFonts w:ascii="Times New Roman" w:hAnsi="Times New Roman" w:cs="Times New Roman"/>
        </w:rPr>
        <w:t xml:space="preserve"> data envelopment analysis (DEA), </w:t>
      </w:r>
      <w:r w:rsidR="00864219">
        <w:rPr>
          <w:rFonts w:ascii="Times New Roman" w:hAnsi="Times New Roman" w:cs="Times New Roman"/>
        </w:rPr>
        <w:t>the principal</w:t>
      </w:r>
      <w:r w:rsidR="00942B99">
        <w:rPr>
          <w:rFonts w:ascii="Times New Roman" w:hAnsi="Times New Roman" w:cs="Times New Roman"/>
        </w:rPr>
        <w:t xml:space="preserve"> component/factor analysis</w:t>
      </w:r>
      <w:r w:rsidR="00D973E0">
        <w:rPr>
          <w:rFonts w:ascii="Times New Roman" w:hAnsi="Times New Roman" w:cs="Times New Roman"/>
        </w:rPr>
        <w:t>,</w:t>
      </w:r>
      <w:r w:rsidR="00942B99">
        <w:rPr>
          <w:rFonts w:ascii="Times New Roman" w:hAnsi="Times New Roman" w:cs="Times New Roman"/>
        </w:rPr>
        <w:t xml:space="preserve"> and the unobserved components model</w:t>
      </w:r>
      <w:r w:rsidR="00596B32">
        <w:rPr>
          <w:rFonts w:ascii="Times New Roman" w:hAnsi="Times New Roman" w:cs="Times New Roman"/>
        </w:rPr>
        <w:t>.</w:t>
      </w:r>
      <w:r w:rsidR="00942B99">
        <w:rPr>
          <w:rStyle w:val="EndnoteReference"/>
          <w:rFonts w:ascii="Times New Roman" w:hAnsi="Times New Roman" w:cs="Times New Roman"/>
        </w:rPr>
        <w:endnoteReference w:id="1"/>
      </w:r>
      <w:r w:rsidR="00862B46">
        <w:rPr>
          <w:rFonts w:ascii="Times New Roman" w:hAnsi="Times New Roman" w:cs="Times New Roman"/>
        </w:rPr>
        <w:t xml:space="preserve">  The </w:t>
      </w:r>
      <w:proofErr w:type="spellStart"/>
      <w:r w:rsidR="00862B46">
        <w:rPr>
          <w:rFonts w:ascii="Times New Roman" w:hAnsi="Times New Roman" w:cs="Times New Roman"/>
        </w:rPr>
        <w:t>BoD</w:t>
      </w:r>
      <w:proofErr w:type="spellEnd"/>
      <w:r w:rsidR="00862B46">
        <w:rPr>
          <w:rFonts w:ascii="Times New Roman" w:hAnsi="Times New Roman" w:cs="Times New Roman"/>
        </w:rPr>
        <w:t xml:space="preserve"> model</w:t>
      </w:r>
      <w:r w:rsidR="00603E83">
        <w:rPr>
          <w:rFonts w:ascii="Times New Roman" w:hAnsi="Times New Roman" w:cs="Times New Roman"/>
        </w:rPr>
        <w:t xml:space="preserve"> has been use</w:t>
      </w:r>
      <w:r w:rsidR="00864219">
        <w:rPr>
          <w:rFonts w:ascii="Times New Roman" w:hAnsi="Times New Roman" w:cs="Times New Roman"/>
        </w:rPr>
        <w:t>d for</w:t>
      </w:r>
      <w:r w:rsidR="00603E83">
        <w:rPr>
          <w:rFonts w:ascii="Times New Roman" w:hAnsi="Times New Roman" w:cs="Times New Roman"/>
        </w:rPr>
        <w:t xml:space="preserve"> the </w:t>
      </w:r>
      <w:r w:rsidR="00A455CA">
        <w:rPr>
          <w:rFonts w:ascii="Times New Roman" w:hAnsi="Times New Roman" w:cs="Times New Roman"/>
        </w:rPr>
        <w:t xml:space="preserve">construction of </w:t>
      </w:r>
      <w:r w:rsidR="00D973E0">
        <w:rPr>
          <w:rFonts w:ascii="Times New Roman" w:hAnsi="Times New Roman" w:cs="Times New Roman"/>
        </w:rPr>
        <w:t xml:space="preserve">several composite indicators, including </w:t>
      </w:r>
      <w:r w:rsidR="00A455CA">
        <w:rPr>
          <w:rFonts w:ascii="Times New Roman" w:hAnsi="Times New Roman" w:cs="Times New Roman"/>
        </w:rPr>
        <w:t xml:space="preserve">the </w:t>
      </w:r>
      <w:r w:rsidR="00603E83">
        <w:rPr>
          <w:rFonts w:ascii="Times New Roman" w:hAnsi="Times New Roman" w:cs="Times New Roman"/>
        </w:rPr>
        <w:t>Human Development Index</w:t>
      </w:r>
      <w:r w:rsidR="00993D3E">
        <w:rPr>
          <w:rFonts w:ascii="Times New Roman" w:hAnsi="Times New Roman" w:cs="Times New Roman"/>
        </w:rPr>
        <w:t xml:space="preserve"> (e.g., </w:t>
      </w:r>
      <w:proofErr w:type="spellStart"/>
      <w:r w:rsidR="00993D3E">
        <w:rPr>
          <w:rFonts w:ascii="Times New Roman" w:hAnsi="Times New Roman" w:cs="Times New Roman"/>
        </w:rPr>
        <w:t>Despotis</w:t>
      </w:r>
      <w:proofErr w:type="spellEnd"/>
      <w:r w:rsidR="00993D3E">
        <w:rPr>
          <w:rFonts w:ascii="Times New Roman" w:hAnsi="Times New Roman" w:cs="Times New Roman"/>
        </w:rPr>
        <w:t>, 2005)</w:t>
      </w:r>
      <w:r w:rsidR="00603E83">
        <w:rPr>
          <w:rFonts w:ascii="Times New Roman" w:hAnsi="Times New Roman" w:cs="Times New Roman"/>
        </w:rPr>
        <w:t>, the Quality of Life Indicator</w:t>
      </w:r>
      <w:r w:rsidR="00993D3E">
        <w:rPr>
          <w:rFonts w:ascii="Times New Roman" w:hAnsi="Times New Roman" w:cs="Times New Roman"/>
        </w:rPr>
        <w:t xml:space="preserve"> (e.g., </w:t>
      </w:r>
      <w:proofErr w:type="spellStart"/>
      <w:r w:rsidR="00993D3E">
        <w:rPr>
          <w:rFonts w:ascii="Times New Roman" w:hAnsi="Times New Roman" w:cs="Times New Roman"/>
        </w:rPr>
        <w:t>Morais</w:t>
      </w:r>
      <w:proofErr w:type="spellEnd"/>
      <w:r w:rsidR="00993D3E">
        <w:rPr>
          <w:rFonts w:ascii="Times New Roman" w:hAnsi="Times New Roman" w:cs="Times New Roman"/>
        </w:rPr>
        <w:t xml:space="preserve"> and </w:t>
      </w:r>
      <w:proofErr w:type="spellStart"/>
      <w:r w:rsidR="00993D3E">
        <w:rPr>
          <w:rFonts w:ascii="Times New Roman" w:hAnsi="Times New Roman" w:cs="Times New Roman"/>
        </w:rPr>
        <w:t>Camanho</w:t>
      </w:r>
      <w:proofErr w:type="spellEnd"/>
      <w:r w:rsidR="00993D3E">
        <w:rPr>
          <w:rFonts w:ascii="Times New Roman" w:hAnsi="Times New Roman" w:cs="Times New Roman"/>
        </w:rPr>
        <w:t>, 2011)</w:t>
      </w:r>
      <w:r w:rsidR="00603E83">
        <w:rPr>
          <w:rFonts w:ascii="Times New Roman" w:hAnsi="Times New Roman" w:cs="Times New Roman"/>
        </w:rPr>
        <w:t>, the Internal Market Index</w:t>
      </w:r>
      <w:r w:rsidR="002D750A">
        <w:rPr>
          <w:rFonts w:ascii="Times New Roman" w:hAnsi="Times New Roman" w:cs="Times New Roman"/>
        </w:rPr>
        <w:t xml:space="preserve"> (e.g., </w:t>
      </w:r>
      <w:proofErr w:type="spellStart"/>
      <w:r w:rsidR="002D750A">
        <w:rPr>
          <w:rFonts w:ascii="Times New Roman" w:hAnsi="Times New Roman" w:cs="Times New Roman"/>
        </w:rPr>
        <w:t>Cherchye</w:t>
      </w:r>
      <w:proofErr w:type="spellEnd"/>
      <w:r w:rsidR="002D750A">
        <w:rPr>
          <w:rFonts w:ascii="Times New Roman" w:hAnsi="Times New Roman" w:cs="Times New Roman"/>
        </w:rPr>
        <w:t xml:space="preserve"> </w:t>
      </w:r>
      <w:r w:rsidR="002D750A" w:rsidRPr="002D750A">
        <w:rPr>
          <w:rFonts w:ascii="Times New Roman" w:hAnsi="Times New Roman" w:cs="Times New Roman"/>
          <w:i/>
        </w:rPr>
        <w:t>et al</w:t>
      </w:r>
      <w:r w:rsidR="002D750A">
        <w:rPr>
          <w:rFonts w:ascii="Times New Roman" w:hAnsi="Times New Roman" w:cs="Times New Roman"/>
        </w:rPr>
        <w:t>., 2007)</w:t>
      </w:r>
      <w:r w:rsidR="00603E83">
        <w:rPr>
          <w:rFonts w:ascii="Times New Roman" w:hAnsi="Times New Roman" w:cs="Times New Roman"/>
        </w:rPr>
        <w:t>, the Competitiveness Index</w:t>
      </w:r>
      <w:r w:rsidR="002D750A">
        <w:rPr>
          <w:rFonts w:ascii="Times New Roman" w:hAnsi="Times New Roman" w:cs="Times New Roman"/>
        </w:rPr>
        <w:t xml:space="preserve"> </w:t>
      </w:r>
      <w:r w:rsidR="00B35F2D">
        <w:rPr>
          <w:rFonts w:ascii="Times New Roman" w:hAnsi="Times New Roman" w:cs="Times New Roman"/>
        </w:rPr>
        <w:t xml:space="preserve">(e.g., Bowen and </w:t>
      </w:r>
      <w:proofErr w:type="spellStart"/>
      <w:r w:rsidR="00B35F2D">
        <w:rPr>
          <w:rFonts w:ascii="Times New Roman" w:hAnsi="Times New Roman" w:cs="Times New Roman"/>
        </w:rPr>
        <w:t>Moesen</w:t>
      </w:r>
      <w:proofErr w:type="spellEnd"/>
      <w:r w:rsidR="00B35F2D">
        <w:rPr>
          <w:rFonts w:ascii="Times New Roman" w:hAnsi="Times New Roman" w:cs="Times New Roman"/>
        </w:rPr>
        <w:t>, 2011)</w:t>
      </w:r>
      <w:r w:rsidR="00603E83">
        <w:rPr>
          <w:rFonts w:ascii="Times New Roman" w:hAnsi="Times New Roman" w:cs="Times New Roman"/>
        </w:rPr>
        <w:t xml:space="preserve">, the </w:t>
      </w:r>
      <w:r w:rsidR="00120D48">
        <w:rPr>
          <w:rFonts w:ascii="Times New Roman" w:hAnsi="Times New Roman" w:cs="Times New Roman"/>
        </w:rPr>
        <w:t xml:space="preserve">Digital Access Indicator (e.g., </w:t>
      </w:r>
      <w:proofErr w:type="spellStart"/>
      <w:r w:rsidR="00120D48">
        <w:rPr>
          <w:rFonts w:ascii="Times New Roman" w:hAnsi="Times New Roman" w:cs="Times New Roman"/>
        </w:rPr>
        <w:t>Gaaloul</w:t>
      </w:r>
      <w:proofErr w:type="spellEnd"/>
      <w:r w:rsidR="00120D48">
        <w:rPr>
          <w:rFonts w:ascii="Times New Roman" w:hAnsi="Times New Roman" w:cs="Times New Roman"/>
        </w:rPr>
        <w:t xml:space="preserve"> and </w:t>
      </w:r>
      <w:proofErr w:type="spellStart"/>
      <w:r w:rsidR="00120D48">
        <w:rPr>
          <w:rFonts w:ascii="Times New Roman" w:hAnsi="Times New Roman" w:cs="Times New Roman"/>
        </w:rPr>
        <w:t>Khalfallah</w:t>
      </w:r>
      <w:proofErr w:type="spellEnd"/>
      <w:r w:rsidR="00120D48">
        <w:rPr>
          <w:rFonts w:ascii="Times New Roman" w:hAnsi="Times New Roman" w:cs="Times New Roman"/>
        </w:rPr>
        <w:t>, 2014)</w:t>
      </w:r>
      <w:r w:rsidR="00603E83">
        <w:rPr>
          <w:rFonts w:ascii="Times New Roman" w:hAnsi="Times New Roman" w:cs="Times New Roman"/>
        </w:rPr>
        <w:t>, the Technology Achievement Index</w:t>
      </w:r>
      <w:r w:rsidR="00993D3E">
        <w:rPr>
          <w:rFonts w:ascii="Times New Roman" w:hAnsi="Times New Roman" w:cs="Times New Roman"/>
        </w:rPr>
        <w:t xml:space="preserve"> (e.g., </w:t>
      </w:r>
      <w:proofErr w:type="spellStart"/>
      <w:r w:rsidR="00993D3E">
        <w:rPr>
          <w:rFonts w:ascii="Times New Roman" w:hAnsi="Times New Roman" w:cs="Times New Roman"/>
        </w:rPr>
        <w:t>Cherchye</w:t>
      </w:r>
      <w:proofErr w:type="spellEnd"/>
      <w:r w:rsidR="00993D3E">
        <w:rPr>
          <w:rFonts w:ascii="Times New Roman" w:hAnsi="Times New Roman" w:cs="Times New Roman"/>
        </w:rPr>
        <w:t xml:space="preserve"> </w:t>
      </w:r>
      <w:r w:rsidR="00993D3E" w:rsidRPr="00993D3E">
        <w:rPr>
          <w:rFonts w:ascii="Times New Roman" w:hAnsi="Times New Roman" w:cs="Times New Roman"/>
          <w:i/>
        </w:rPr>
        <w:t>et al</w:t>
      </w:r>
      <w:r w:rsidR="00993D3E">
        <w:rPr>
          <w:rFonts w:ascii="Times New Roman" w:hAnsi="Times New Roman" w:cs="Times New Roman"/>
        </w:rPr>
        <w:t>., 2008)</w:t>
      </w:r>
      <w:r w:rsidR="00603E83">
        <w:rPr>
          <w:rFonts w:ascii="Times New Roman" w:hAnsi="Times New Roman" w:cs="Times New Roman"/>
        </w:rPr>
        <w:t xml:space="preserve">, </w:t>
      </w:r>
      <w:r w:rsidR="00712B86">
        <w:rPr>
          <w:rFonts w:ascii="Times New Roman" w:hAnsi="Times New Roman" w:cs="Times New Roman"/>
        </w:rPr>
        <w:t>the Students’ Evaluation of Teaching indicator</w:t>
      </w:r>
      <w:r w:rsidR="00993D3E">
        <w:rPr>
          <w:rFonts w:ascii="Times New Roman" w:hAnsi="Times New Roman" w:cs="Times New Roman"/>
        </w:rPr>
        <w:t xml:space="preserve"> (e.g., de Witte and Rogge, 2011)</w:t>
      </w:r>
      <w:r w:rsidR="00712B86">
        <w:rPr>
          <w:rFonts w:ascii="Times New Roman" w:hAnsi="Times New Roman" w:cs="Times New Roman"/>
        </w:rPr>
        <w:t xml:space="preserve">, </w:t>
      </w:r>
      <w:r w:rsidR="00603E83">
        <w:rPr>
          <w:rFonts w:ascii="Times New Roman" w:hAnsi="Times New Roman" w:cs="Times New Roman"/>
        </w:rPr>
        <w:t>the Health System Performance Index</w:t>
      </w:r>
      <w:r w:rsidR="00120D48">
        <w:rPr>
          <w:rFonts w:ascii="Times New Roman" w:hAnsi="Times New Roman" w:cs="Times New Roman"/>
        </w:rPr>
        <w:t xml:space="preserve"> (e.g., Lauer </w:t>
      </w:r>
      <w:r w:rsidR="00120D48" w:rsidRPr="00A15E01">
        <w:rPr>
          <w:rFonts w:ascii="Times New Roman" w:hAnsi="Times New Roman" w:cs="Times New Roman"/>
          <w:i/>
        </w:rPr>
        <w:t>et</w:t>
      </w:r>
      <w:r w:rsidR="00A15E01" w:rsidRPr="00A15E01">
        <w:rPr>
          <w:rFonts w:ascii="Times New Roman" w:hAnsi="Times New Roman" w:cs="Times New Roman"/>
          <w:i/>
        </w:rPr>
        <w:t xml:space="preserve"> </w:t>
      </w:r>
      <w:r w:rsidR="00120D48" w:rsidRPr="00A15E01">
        <w:rPr>
          <w:rFonts w:ascii="Times New Roman" w:hAnsi="Times New Roman" w:cs="Times New Roman"/>
          <w:i/>
        </w:rPr>
        <w:t>al</w:t>
      </w:r>
      <w:r w:rsidR="00120D48">
        <w:rPr>
          <w:rFonts w:ascii="Times New Roman" w:hAnsi="Times New Roman" w:cs="Times New Roman"/>
        </w:rPr>
        <w:t>., 2004)</w:t>
      </w:r>
      <w:r w:rsidR="00D973E0">
        <w:rPr>
          <w:rFonts w:ascii="Times New Roman" w:hAnsi="Times New Roman" w:cs="Times New Roman"/>
        </w:rPr>
        <w:t>,</w:t>
      </w:r>
      <w:r w:rsidR="00603E83">
        <w:rPr>
          <w:rFonts w:ascii="Times New Roman" w:hAnsi="Times New Roman" w:cs="Times New Roman"/>
        </w:rPr>
        <w:t xml:space="preserve"> </w:t>
      </w:r>
      <w:r w:rsidR="00D973E0">
        <w:rPr>
          <w:rFonts w:ascii="Times New Roman" w:hAnsi="Times New Roman" w:cs="Times New Roman"/>
        </w:rPr>
        <w:t xml:space="preserve">and </w:t>
      </w:r>
      <w:r w:rsidR="00603E83">
        <w:rPr>
          <w:rFonts w:ascii="Times New Roman" w:hAnsi="Times New Roman" w:cs="Times New Roman"/>
        </w:rPr>
        <w:t>the Environmental Performance Index</w:t>
      </w:r>
      <w:r w:rsidR="00993D3E">
        <w:rPr>
          <w:rFonts w:ascii="Times New Roman" w:hAnsi="Times New Roman" w:cs="Times New Roman"/>
        </w:rPr>
        <w:t xml:space="preserve"> (e.g., </w:t>
      </w:r>
      <w:proofErr w:type="spellStart"/>
      <w:r w:rsidR="00993D3E">
        <w:rPr>
          <w:rFonts w:ascii="Times New Roman" w:hAnsi="Times New Roman" w:cs="Times New Roman"/>
        </w:rPr>
        <w:t>Zanella</w:t>
      </w:r>
      <w:proofErr w:type="spellEnd"/>
      <w:r w:rsidR="00993D3E">
        <w:rPr>
          <w:rFonts w:ascii="Times New Roman" w:hAnsi="Times New Roman" w:cs="Times New Roman"/>
        </w:rPr>
        <w:t xml:space="preserve">, </w:t>
      </w:r>
      <w:proofErr w:type="spellStart"/>
      <w:r w:rsidR="00993D3E">
        <w:rPr>
          <w:rFonts w:ascii="Times New Roman" w:hAnsi="Times New Roman" w:cs="Times New Roman"/>
        </w:rPr>
        <w:t>Camanho</w:t>
      </w:r>
      <w:proofErr w:type="spellEnd"/>
      <w:r w:rsidR="00993D3E">
        <w:rPr>
          <w:rFonts w:ascii="Times New Roman" w:hAnsi="Times New Roman" w:cs="Times New Roman"/>
        </w:rPr>
        <w:t xml:space="preserve"> and Dias, 2013)</w:t>
      </w:r>
      <w:r w:rsidR="00603E83">
        <w:rPr>
          <w:rFonts w:ascii="Times New Roman" w:hAnsi="Times New Roman" w:cs="Times New Roman"/>
        </w:rPr>
        <w:t>.</w:t>
      </w:r>
      <w:r w:rsidR="00D973E0">
        <w:rPr>
          <w:rFonts w:ascii="Times New Roman" w:hAnsi="Times New Roman" w:cs="Times New Roman"/>
        </w:rPr>
        <w:t xml:space="preserve">  T</w:t>
      </w:r>
      <w:r w:rsidR="00315892">
        <w:rPr>
          <w:rFonts w:ascii="Times New Roman" w:hAnsi="Times New Roman" w:cs="Times New Roman"/>
        </w:rPr>
        <w:t xml:space="preserve">he main advantage of the </w:t>
      </w:r>
      <w:proofErr w:type="spellStart"/>
      <w:r w:rsidR="00315892">
        <w:rPr>
          <w:rFonts w:ascii="Times New Roman" w:hAnsi="Times New Roman" w:cs="Times New Roman"/>
        </w:rPr>
        <w:t>BoD</w:t>
      </w:r>
      <w:proofErr w:type="spellEnd"/>
      <w:r w:rsidR="00315892">
        <w:rPr>
          <w:rFonts w:ascii="Times New Roman" w:hAnsi="Times New Roman" w:cs="Times New Roman"/>
        </w:rPr>
        <w:t xml:space="preserve"> model is the endogenously determined and flexible </w:t>
      </w:r>
      <w:r w:rsidR="00864219">
        <w:rPr>
          <w:rFonts w:ascii="Times New Roman" w:hAnsi="Times New Roman" w:cs="Times New Roman"/>
        </w:rPr>
        <w:t>(</w:t>
      </w:r>
      <w:r w:rsidR="00913A81">
        <w:rPr>
          <w:rFonts w:ascii="Times New Roman" w:hAnsi="Times New Roman" w:cs="Times New Roman"/>
        </w:rPr>
        <w:t xml:space="preserve">i.e., </w:t>
      </w:r>
      <w:r w:rsidR="00864219">
        <w:rPr>
          <w:rFonts w:ascii="Times New Roman" w:hAnsi="Times New Roman" w:cs="Times New Roman"/>
        </w:rPr>
        <w:t>specific</w:t>
      </w:r>
      <w:r w:rsidR="00D973E0">
        <w:rPr>
          <w:rFonts w:ascii="Times New Roman" w:hAnsi="Times New Roman" w:cs="Times New Roman"/>
        </w:rPr>
        <w:t xml:space="preserve"> to each evaluated unit</w:t>
      </w:r>
      <w:r w:rsidR="00864219">
        <w:rPr>
          <w:rFonts w:ascii="Times New Roman" w:hAnsi="Times New Roman" w:cs="Times New Roman"/>
        </w:rPr>
        <w:t xml:space="preserve">) </w:t>
      </w:r>
      <w:r w:rsidR="00315892">
        <w:rPr>
          <w:rFonts w:ascii="Times New Roman" w:hAnsi="Times New Roman" w:cs="Times New Roman"/>
        </w:rPr>
        <w:t xml:space="preserve">weights </w:t>
      </w:r>
      <w:r w:rsidR="00864219">
        <w:rPr>
          <w:rFonts w:ascii="Times New Roman" w:hAnsi="Times New Roman" w:cs="Times New Roman"/>
        </w:rPr>
        <w:t xml:space="preserve">that are </w:t>
      </w:r>
      <w:r w:rsidR="00315892">
        <w:rPr>
          <w:rFonts w:ascii="Times New Roman" w:hAnsi="Times New Roman" w:cs="Times New Roman"/>
        </w:rPr>
        <w:t xml:space="preserve">used to value the relative importance of </w:t>
      </w:r>
      <w:r w:rsidR="00864219">
        <w:rPr>
          <w:rFonts w:ascii="Times New Roman" w:hAnsi="Times New Roman" w:cs="Times New Roman"/>
        </w:rPr>
        <w:t xml:space="preserve">the considered </w:t>
      </w:r>
      <w:r w:rsidR="00315892">
        <w:rPr>
          <w:rFonts w:ascii="Times New Roman" w:hAnsi="Times New Roman" w:cs="Times New Roman"/>
        </w:rPr>
        <w:t xml:space="preserve">performance sub-indicators. </w:t>
      </w:r>
    </w:p>
    <w:p w14:paraId="21C71C6C" w14:textId="15EC7594" w:rsidR="00710CD1" w:rsidRDefault="00603E83" w:rsidP="00712B86">
      <w:pPr>
        <w:spacing w:line="360" w:lineRule="auto"/>
        <w:jc w:val="both"/>
        <w:rPr>
          <w:rFonts w:ascii="Times New Roman" w:hAnsi="Times New Roman" w:cs="Times New Roman"/>
        </w:rPr>
      </w:pPr>
      <w:r>
        <w:rPr>
          <w:rFonts w:ascii="Times New Roman" w:hAnsi="Times New Roman" w:cs="Times New Roman"/>
        </w:rPr>
        <w:tab/>
      </w:r>
      <w:r w:rsidR="00913A81">
        <w:rPr>
          <w:rFonts w:ascii="Times New Roman" w:hAnsi="Times New Roman" w:cs="Times New Roman"/>
        </w:rPr>
        <w:t>T</w:t>
      </w:r>
      <w:r>
        <w:rPr>
          <w:rFonts w:ascii="Times New Roman" w:hAnsi="Times New Roman" w:cs="Times New Roman"/>
        </w:rPr>
        <w:t xml:space="preserve">here </w:t>
      </w:r>
      <w:r w:rsidR="00596B32">
        <w:rPr>
          <w:rFonts w:ascii="Times New Roman" w:hAnsi="Times New Roman" w:cs="Times New Roman"/>
        </w:rPr>
        <w:t>has been a long and still</w:t>
      </w:r>
      <w:r>
        <w:rPr>
          <w:rFonts w:ascii="Times New Roman" w:hAnsi="Times New Roman" w:cs="Times New Roman"/>
        </w:rPr>
        <w:t xml:space="preserve"> ongoing discussion </w:t>
      </w:r>
      <w:r w:rsidR="00913A81">
        <w:rPr>
          <w:rFonts w:ascii="Times New Roman" w:hAnsi="Times New Roman" w:cs="Times New Roman"/>
        </w:rPr>
        <w:t xml:space="preserve">in the literature </w:t>
      </w:r>
      <w:r>
        <w:rPr>
          <w:rFonts w:ascii="Times New Roman" w:hAnsi="Times New Roman" w:cs="Times New Roman"/>
        </w:rPr>
        <w:t xml:space="preserve">regarding the </w:t>
      </w:r>
      <w:r w:rsidR="00172325">
        <w:rPr>
          <w:rFonts w:ascii="Times New Roman" w:hAnsi="Times New Roman" w:cs="Times New Roman"/>
        </w:rPr>
        <w:t>extent of weights flexibility</w:t>
      </w:r>
      <w:r w:rsidR="001D767F">
        <w:rPr>
          <w:rFonts w:ascii="Times New Roman" w:hAnsi="Times New Roman" w:cs="Times New Roman"/>
        </w:rPr>
        <w:t xml:space="preserve"> in the construction of composite indicators</w:t>
      </w:r>
      <w:r w:rsidR="00172325">
        <w:rPr>
          <w:rFonts w:ascii="Times New Roman" w:hAnsi="Times New Roman" w:cs="Times New Roman"/>
        </w:rPr>
        <w:t xml:space="preserve">. </w:t>
      </w:r>
      <w:r w:rsidR="001D767F">
        <w:rPr>
          <w:rFonts w:ascii="Times New Roman" w:hAnsi="Times New Roman" w:cs="Times New Roman"/>
        </w:rPr>
        <w:t xml:space="preserve"> </w:t>
      </w:r>
      <w:r w:rsidR="00864219">
        <w:rPr>
          <w:rFonts w:ascii="Times New Roman" w:hAnsi="Times New Roman" w:cs="Times New Roman"/>
        </w:rPr>
        <w:t>The relevant choices</w:t>
      </w:r>
      <w:r w:rsidR="00596B32">
        <w:rPr>
          <w:rFonts w:ascii="Times New Roman" w:hAnsi="Times New Roman" w:cs="Times New Roman"/>
        </w:rPr>
        <w:t xml:space="preserve"> range</w:t>
      </w:r>
      <w:r>
        <w:rPr>
          <w:rFonts w:ascii="Times New Roman" w:hAnsi="Times New Roman" w:cs="Times New Roman"/>
        </w:rPr>
        <w:t xml:space="preserve"> from</w:t>
      </w:r>
      <w:r w:rsidR="00913A81">
        <w:rPr>
          <w:rFonts w:ascii="Times New Roman" w:hAnsi="Times New Roman" w:cs="Times New Roman"/>
        </w:rPr>
        <w:t xml:space="preserve"> the</w:t>
      </w:r>
      <w:r>
        <w:rPr>
          <w:rFonts w:ascii="Times New Roman" w:hAnsi="Times New Roman" w:cs="Times New Roman"/>
        </w:rPr>
        <w:t xml:space="preserve"> </w:t>
      </w:r>
      <w:r w:rsidRPr="001D767F">
        <w:rPr>
          <w:rFonts w:ascii="Times New Roman" w:hAnsi="Times New Roman" w:cs="Times New Roman"/>
          <w:i/>
        </w:rPr>
        <w:t>ad hoc</w:t>
      </w:r>
      <w:r>
        <w:rPr>
          <w:rFonts w:ascii="Times New Roman" w:hAnsi="Times New Roman" w:cs="Times New Roman"/>
        </w:rPr>
        <w:t xml:space="preserve"> imposition of equal weights </w:t>
      </w:r>
      <w:r w:rsidR="00A455CA">
        <w:rPr>
          <w:rFonts w:ascii="Times New Roman" w:hAnsi="Times New Roman" w:cs="Times New Roman"/>
        </w:rPr>
        <w:t>to the flexible weights scheme opted</w:t>
      </w:r>
      <w:r w:rsidR="00864219">
        <w:rPr>
          <w:rFonts w:ascii="Times New Roman" w:hAnsi="Times New Roman" w:cs="Times New Roman"/>
        </w:rPr>
        <w:t xml:space="preserve"> by </w:t>
      </w:r>
      <w:r w:rsidR="00913A81">
        <w:rPr>
          <w:rFonts w:ascii="Times New Roman" w:hAnsi="Times New Roman" w:cs="Times New Roman"/>
        </w:rPr>
        <w:t xml:space="preserve">the </w:t>
      </w:r>
      <w:proofErr w:type="spellStart"/>
      <w:r w:rsidR="00864219">
        <w:rPr>
          <w:rFonts w:ascii="Times New Roman" w:hAnsi="Times New Roman" w:cs="Times New Roman"/>
        </w:rPr>
        <w:t>BoD</w:t>
      </w:r>
      <w:proofErr w:type="spellEnd"/>
      <w:r w:rsidR="00375BF8">
        <w:rPr>
          <w:rFonts w:ascii="Times New Roman" w:hAnsi="Times New Roman" w:cs="Times New Roman"/>
        </w:rPr>
        <w:t xml:space="preserve"> </w:t>
      </w:r>
      <w:r w:rsidR="008461B1">
        <w:rPr>
          <w:rFonts w:ascii="Times New Roman" w:hAnsi="Times New Roman" w:cs="Times New Roman"/>
        </w:rPr>
        <w:t>model, to</w:t>
      </w:r>
      <w:r w:rsidR="00913A81">
        <w:rPr>
          <w:rFonts w:ascii="Times New Roman" w:hAnsi="Times New Roman" w:cs="Times New Roman"/>
        </w:rPr>
        <w:t xml:space="preserve"> </w:t>
      </w:r>
      <w:r w:rsidR="008461B1">
        <w:rPr>
          <w:rFonts w:ascii="Times New Roman" w:hAnsi="Times New Roman" w:cs="Times New Roman"/>
        </w:rPr>
        <w:t xml:space="preserve">common weights, </w:t>
      </w:r>
      <w:r w:rsidR="00375BF8">
        <w:rPr>
          <w:rFonts w:ascii="Times New Roman" w:hAnsi="Times New Roman" w:cs="Times New Roman"/>
        </w:rPr>
        <w:t>an</w:t>
      </w:r>
      <w:r>
        <w:rPr>
          <w:rFonts w:ascii="Times New Roman" w:hAnsi="Times New Roman" w:cs="Times New Roman"/>
        </w:rPr>
        <w:t xml:space="preserve">d </w:t>
      </w:r>
      <w:r w:rsidR="00993D3E">
        <w:rPr>
          <w:rFonts w:ascii="Times New Roman" w:hAnsi="Times New Roman" w:cs="Times New Roman"/>
        </w:rPr>
        <w:t>to</w:t>
      </w:r>
      <w:r>
        <w:rPr>
          <w:rFonts w:ascii="Times New Roman" w:hAnsi="Times New Roman" w:cs="Times New Roman"/>
        </w:rPr>
        <w:t xml:space="preserve"> </w:t>
      </w:r>
      <w:r w:rsidR="008461B1">
        <w:rPr>
          <w:rFonts w:ascii="Times New Roman" w:hAnsi="Times New Roman" w:cs="Times New Roman"/>
        </w:rPr>
        <w:t>restricted weight</w:t>
      </w:r>
      <w:r>
        <w:rPr>
          <w:rFonts w:ascii="Times New Roman" w:hAnsi="Times New Roman" w:cs="Times New Roman"/>
        </w:rPr>
        <w:t>s</w:t>
      </w:r>
      <w:r w:rsidR="00375BF8">
        <w:rPr>
          <w:rFonts w:ascii="Times New Roman" w:hAnsi="Times New Roman" w:cs="Times New Roman"/>
        </w:rPr>
        <w:t xml:space="preserve"> reflecting </w:t>
      </w:r>
      <w:r w:rsidR="00A455CA">
        <w:rPr>
          <w:rFonts w:ascii="Times New Roman" w:hAnsi="Times New Roman" w:cs="Times New Roman"/>
        </w:rPr>
        <w:t xml:space="preserve">the preferences of experts, </w:t>
      </w:r>
      <w:r w:rsidR="00864219">
        <w:rPr>
          <w:rFonts w:ascii="Times New Roman" w:hAnsi="Times New Roman" w:cs="Times New Roman"/>
        </w:rPr>
        <w:t>stakeholders,</w:t>
      </w:r>
      <w:r w:rsidR="00D973E0">
        <w:rPr>
          <w:rFonts w:ascii="Times New Roman" w:hAnsi="Times New Roman" w:cs="Times New Roman"/>
        </w:rPr>
        <w:t xml:space="preserve"> regulators, policy makers</w:t>
      </w:r>
      <w:r w:rsidR="00993D3E">
        <w:rPr>
          <w:rFonts w:ascii="Times New Roman" w:hAnsi="Times New Roman" w:cs="Times New Roman"/>
        </w:rPr>
        <w:t xml:space="preserve"> or</w:t>
      </w:r>
      <w:r w:rsidR="00864219">
        <w:rPr>
          <w:rFonts w:ascii="Times New Roman" w:hAnsi="Times New Roman" w:cs="Times New Roman"/>
        </w:rPr>
        <w:t xml:space="preserve"> </w:t>
      </w:r>
      <w:r w:rsidR="00993D3E">
        <w:rPr>
          <w:rFonts w:ascii="Times New Roman" w:hAnsi="Times New Roman" w:cs="Times New Roman"/>
        </w:rPr>
        <w:t xml:space="preserve">even </w:t>
      </w:r>
      <w:r w:rsidR="00864219">
        <w:rPr>
          <w:rFonts w:ascii="Times New Roman" w:hAnsi="Times New Roman" w:cs="Times New Roman"/>
        </w:rPr>
        <w:t>researchers</w:t>
      </w:r>
      <w:r w:rsidR="001D767F">
        <w:rPr>
          <w:rFonts w:ascii="Times New Roman" w:hAnsi="Times New Roman" w:cs="Times New Roman"/>
        </w:rPr>
        <w:t>.</w:t>
      </w:r>
      <w:r w:rsidR="00712B86">
        <w:rPr>
          <w:rFonts w:ascii="Times New Roman" w:hAnsi="Times New Roman" w:cs="Times New Roman"/>
        </w:rPr>
        <w:t xml:space="preserve"> </w:t>
      </w:r>
      <w:r w:rsidR="001D767F">
        <w:rPr>
          <w:rFonts w:ascii="Times New Roman" w:hAnsi="Times New Roman" w:cs="Times New Roman"/>
        </w:rPr>
        <w:t xml:space="preserve"> The latter can </w:t>
      </w:r>
      <w:r w:rsidR="00A81C50">
        <w:rPr>
          <w:rFonts w:ascii="Times New Roman" w:hAnsi="Times New Roman" w:cs="Times New Roman"/>
        </w:rPr>
        <w:t xml:space="preserve">be accommodated </w:t>
      </w:r>
      <w:r w:rsidR="00993D3E">
        <w:rPr>
          <w:rFonts w:ascii="Times New Roman" w:hAnsi="Times New Roman" w:cs="Times New Roman"/>
        </w:rPr>
        <w:t xml:space="preserve">in several ways </w:t>
      </w:r>
      <w:r w:rsidR="00A81C50">
        <w:rPr>
          <w:rFonts w:ascii="Times New Roman" w:hAnsi="Times New Roman" w:cs="Times New Roman"/>
        </w:rPr>
        <w:t xml:space="preserve">in the </w:t>
      </w:r>
      <w:proofErr w:type="spellStart"/>
      <w:r w:rsidR="00A81C50">
        <w:rPr>
          <w:rFonts w:ascii="Times New Roman" w:hAnsi="Times New Roman" w:cs="Times New Roman"/>
        </w:rPr>
        <w:t>BoD</w:t>
      </w:r>
      <w:proofErr w:type="spellEnd"/>
      <w:r w:rsidR="00A81C50">
        <w:rPr>
          <w:rFonts w:ascii="Times New Roman" w:hAnsi="Times New Roman" w:cs="Times New Roman"/>
        </w:rPr>
        <w:t xml:space="preserve"> model</w:t>
      </w:r>
      <w:r w:rsidR="00C54C2A">
        <w:rPr>
          <w:rFonts w:ascii="Times New Roman" w:hAnsi="Times New Roman" w:cs="Times New Roman"/>
        </w:rPr>
        <w:t xml:space="preserve"> using different approaches such as assurance regions, cross efficiency, value efficiency analysis, etc.</w:t>
      </w:r>
      <w:r w:rsidR="001D767F">
        <w:rPr>
          <w:rFonts w:ascii="Times New Roman" w:hAnsi="Times New Roman" w:cs="Times New Roman"/>
        </w:rPr>
        <w:t xml:space="preserve">; </w:t>
      </w:r>
      <w:r w:rsidR="00C54C2A">
        <w:rPr>
          <w:rFonts w:ascii="Times New Roman" w:hAnsi="Times New Roman" w:cs="Times New Roman"/>
        </w:rPr>
        <w:t xml:space="preserve">for more details </w:t>
      </w:r>
      <w:r w:rsidR="00712B86">
        <w:rPr>
          <w:rFonts w:ascii="Times New Roman" w:hAnsi="Times New Roman" w:cs="Times New Roman"/>
        </w:rPr>
        <w:t xml:space="preserve">see </w:t>
      </w:r>
      <w:proofErr w:type="spellStart"/>
      <w:r w:rsidR="00712B86">
        <w:rPr>
          <w:rFonts w:ascii="Times New Roman" w:hAnsi="Times New Roman" w:cs="Times New Roman"/>
        </w:rPr>
        <w:t>Cherchye</w:t>
      </w:r>
      <w:proofErr w:type="spellEnd"/>
      <w:r w:rsidR="00712B86">
        <w:rPr>
          <w:rFonts w:ascii="Times New Roman" w:hAnsi="Times New Roman" w:cs="Times New Roman"/>
        </w:rPr>
        <w:t xml:space="preserve"> </w:t>
      </w:r>
      <w:r w:rsidR="00712B86" w:rsidRPr="001D767F">
        <w:rPr>
          <w:rFonts w:ascii="Times New Roman" w:hAnsi="Times New Roman" w:cs="Times New Roman"/>
          <w:i/>
        </w:rPr>
        <w:t>et al.</w:t>
      </w:r>
      <w:r w:rsidR="00712B86">
        <w:rPr>
          <w:rFonts w:ascii="Times New Roman" w:hAnsi="Times New Roman" w:cs="Times New Roman"/>
        </w:rPr>
        <w:t xml:space="preserve"> </w:t>
      </w:r>
      <w:r w:rsidR="00BC7BE7">
        <w:rPr>
          <w:rFonts w:ascii="Times New Roman" w:hAnsi="Times New Roman" w:cs="Times New Roman"/>
        </w:rPr>
        <w:t>(</w:t>
      </w:r>
      <w:r w:rsidR="00C642D7">
        <w:rPr>
          <w:rFonts w:ascii="Times New Roman" w:hAnsi="Times New Roman" w:cs="Times New Roman"/>
        </w:rPr>
        <w:t>2007</w:t>
      </w:r>
      <w:r w:rsidR="00BC7BE7">
        <w:rPr>
          <w:rFonts w:ascii="Times New Roman" w:hAnsi="Times New Roman" w:cs="Times New Roman"/>
        </w:rPr>
        <w:t>)</w:t>
      </w:r>
      <w:r w:rsidR="00712B86">
        <w:rPr>
          <w:rFonts w:ascii="Times New Roman" w:hAnsi="Times New Roman" w:cs="Times New Roman"/>
        </w:rPr>
        <w:t>.</w:t>
      </w:r>
      <w:r w:rsidR="006002CC">
        <w:rPr>
          <w:rFonts w:ascii="Times New Roman" w:hAnsi="Times New Roman" w:cs="Times New Roman"/>
        </w:rPr>
        <w:t xml:space="preserve"> </w:t>
      </w:r>
    </w:p>
    <w:p w14:paraId="72F1B715" w14:textId="250BE5E0" w:rsidR="004A6845" w:rsidRDefault="008461B1" w:rsidP="00710CD1">
      <w:pPr>
        <w:spacing w:line="360" w:lineRule="auto"/>
        <w:ind w:firstLine="720"/>
        <w:jc w:val="both"/>
        <w:rPr>
          <w:rFonts w:ascii="Times New Roman" w:hAnsi="Times New Roman" w:cs="Times New Roman"/>
        </w:rPr>
      </w:pPr>
      <w:r>
        <w:rPr>
          <w:rFonts w:ascii="Times New Roman" w:hAnsi="Times New Roman" w:cs="Times New Roman"/>
        </w:rPr>
        <w:t>T</w:t>
      </w:r>
      <w:r w:rsidR="00375BF8">
        <w:rPr>
          <w:rFonts w:ascii="Times New Roman" w:hAnsi="Times New Roman" w:cs="Times New Roman"/>
        </w:rPr>
        <w:t>he li</w:t>
      </w:r>
      <w:r>
        <w:rPr>
          <w:rFonts w:ascii="Times New Roman" w:hAnsi="Times New Roman" w:cs="Times New Roman"/>
        </w:rPr>
        <w:t xml:space="preserve">terature </w:t>
      </w:r>
      <w:r w:rsidR="00D973E0">
        <w:rPr>
          <w:rFonts w:ascii="Times New Roman" w:hAnsi="Times New Roman" w:cs="Times New Roman"/>
        </w:rPr>
        <w:t xml:space="preserve">however </w:t>
      </w:r>
      <w:r>
        <w:rPr>
          <w:rFonts w:ascii="Times New Roman" w:hAnsi="Times New Roman" w:cs="Times New Roman"/>
        </w:rPr>
        <w:t>remains</w:t>
      </w:r>
      <w:r w:rsidR="00D973E0">
        <w:rPr>
          <w:rFonts w:ascii="Times New Roman" w:hAnsi="Times New Roman" w:cs="Times New Roman"/>
        </w:rPr>
        <w:t xml:space="preserve"> silent regarding</w:t>
      </w:r>
      <w:r w:rsidR="00375BF8">
        <w:rPr>
          <w:rFonts w:ascii="Times New Roman" w:hAnsi="Times New Roman" w:cs="Times New Roman"/>
        </w:rPr>
        <w:t xml:space="preserve"> </w:t>
      </w:r>
      <w:r w:rsidR="008C2BBB">
        <w:rPr>
          <w:rFonts w:ascii="Times New Roman" w:hAnsi="Times New Roman" w:cs="Times New Roman"/>
        </w:rPr>
        <w:t xml:space="preserve">the </w:t>
      </w:r>
      <w:r w:rsidR="00D973E0">
        <w:rPr>
          <w:rFonts w:ascii="Times New Roman" w:hAnsi="Times New Roman" w:cs="Times New Roman"/>
        </w:rPr>
        <w:t>aggregation of</w:t>
      </w:r>
      <w:r w:rsidR="00864219">
        <w:rPr>
          <w:rFonts w:ascii="Times New Roman" w:hAnsi="Times New Roman" w:cs="Times New Roman"/>
        </w:rPr>
        <w:t xml:space="preserve"> composite indicators across</w:t>
      </w:r>
      <w:r w:rsidR="00375BF8">
        <w:rPr>
          <w:rFonts w:ascii="Times New Roman" w:hAnsi="Times New Roman" w:cs="Times New Roman"/>
        </w:rPr>
        <w:t xml:space="preserve"> the </w:t>
      </w:r>
      <w:r w:rsidR="00864219">
        <w:rPr>
          <w:rFonts w:ascii="Times New Roman" w:hAnsi="Times New Roman" w:cs="Times New Roman"/>
        </w:rPr>
        <w:t>evaluated units</w:t>
      </w:r>
      <w:r>
        <w:rPr>
          <w:rFonts w:ascii="Times New Roman" w:hAnsi="Times New Roman" w:cs="Times New Roman"/>
        </w:rPr>
        <w:t xml:space="preserve"> despite the fact</w:t>
      </w:r>
      <w:r w:rsidR="008C2BBB">
        <w:rPr>
          <w:rFonts w:ascii="Times New Roman" w:hAnsi="Times New Roman" w:cs="Times New Roman"/>
        </w:rPr>
        <w:t xml:space="preserve"> </w:t>
      </w:r>
      <w:r w:rsidR="00D973E0">
        <w:rPr>
          <w:rFonts w:ascii="Times New Roman" w:hAnsi="Times New Roman" w:cs="Times New Roman"/>
        </w:rPr>
        <w:t xml:space="preserve">that </w:t>
      </w:r>
      <w:r w:rsidR="008C2BBB">
        <w:rPr>
          <w:rFonts w:ascii="Times New Roman" w:hAnsi="Times New Roman" w:cs="Times New Roman"/>
        </w:rPr>
        <w:t xml:space="preserve">this </w:t>
      </w:r>
      <w:r w:rsidR="00864219">
        <w:rPr>
          <w:rFonts w:ascii="Times New Roman" w:hAnsi="Times New Roman" w:cs="Times New Roman"/>
        </w:rPr>
        <w:t>turn</w:t>
      </w:r>
      <w:r w:rsidR="007D376D">
        <w:rPr>
          <w:rFonts w:ascii="Times New Roman" w:hAnsi="Times New Roman" w:cs="Times New Roman"/>
        </w:rPr>
        <w:t>s</w:t>
      </w:r>
      <w:r w:rsidR="008C2BBB">
        <w:rPr>
          <w:rFonts w:ascii="Times New Roman" w:hAnsi="Times New Roman" w:cs="Times New Roman"/>
        </w:rPr>
        <w:t xml:space="preserve"> to be a rel</w:t>
      </w:r>
      <w:r w:rsidR="00D011D6">
        <w:rPr>
          <w:rFonts w:ascii="Times New Roman" w:hAnsi="Times New Roman" w:cs="Times New Roman"/>
        </w:rPr>
        <w:t xml:space="preserve">evant </w:t>
      </w:r>
      <w:r w:rsidR="00C6425F">
        <w:rPr>
          <w:rFonts w:ascii="Times New Roman" w:hAnsi="Times New Roman" w:cs="Times New Roman"/>
        </w:rPr>
        <w:t xml:space="preserve">and important </w:t>
      </w:r>
      <w:r w:rsidR="00D011D6">
        <w:rPr>
          <w:rFonts w:ascii="Times New Roman" w:hAnsi="Times New Roman" w:cs="Times New Roman"/>
        </w:rPr>
        <w:t>issue</w:t>
      </w:r>
      <w:r w:rsidR="007D376D">
        <w:rPr>
          <w:rFonts w:ascii="Times New Roman" w:hAnsi="Times New Roman" w:cs="Times New Roman"/>
        </w:rPr>
        <w:t xml:space="preserve"> as,</w:t>
      </w:r>
      <w:r w:rsidR="007D376D" w:rsidRPr="007D376D">
        <w:rPr>
          <w:rFonts w:ascii="Times New Roman" w:hAnsi="Times New Roman" w:cs="Times New Roman"/>
        </w:rPr>
        <w:t xml:space="preserve"> </w:t>
      </w:r>
      <w:r w:rsidR="007D376D">
        <w:rPr>
          <w:rFonts w:ascii="Times New Roman" w:hAnsi="Times New Roman" w:cs="Times New Roman"/>
        </w:rPr>
        <w:t>in most of the cases, we are interesting on the performance of the group that these evaluated units belongs to</w:t>
      </w:r>
      <w:r w:rsidR="00172325">
        <w:rPr>
          <w:rFonts w:ascii="Times New Roman" w:hAnsi="Times New Roman" w:cs="Times New Roman"/>
        </w:rPr>
        <w:t>.</w:t>
      </w:r>
      <w:r w:rsidR="00A455CA">
        <w:rPr>
          <w:rFonts w:ascii="Times New Roman" w:hAnsi="Times New Roman" w:cs="Times New Roman"/>
        </w:rPr>
        <w:t xml:space="preserve">  For instance</w:t>
      </w:r>
      <w:r w:rsidR="008C2BBB">
        <w:rPr>
          <w:rFonts w:ascii="Times New Roman" w:hAnsi="Times New Roman" w:cs="Times New Roman"/>
        </w:rPr>
        <w:t xml:space="preserve">, </w:t>
      </w:r>
      <w:r w:rsidR="00D973E0">
        <w:rPr>
          <w:rFonts w:ascii="Times New Roman" w:hAnsi="Times New Roman" w:cs="Times New Roman"/>
        </w:rPr>
        <w:t>when assessing</w:t>
      </w:r>
      <w:r w:rsidR="00172325">
        <w:rPr>
          <w:rFonts w:ascii="Times New Roman" w:hAnsi="Times New Roman" w:cs="Times New Roman"/>
        </w:rPr>
        <w:t xml:space="preserve"> Students’ Evaluati</w:t>
      </w:r>
      <w:r w:rsidR="006F3AA6">
        <w:rPr>
          <w:rFonts w:ascii="Times New Roman" w:hAnsi="Times New Roman" w:cs="Times New Roman"/>
        </w:rPr>
        <w:t>on of Teaching</w:t>
      </w:r>
      <w:r w:rsidR="00172325">
        <w:rPr>
          <w:rFonts w:ascii="Times New Roman" w:hAnsi="Times New Roman" w:cs="Times New Roman"/>
        </w:rPr>
        <w:t xml:space="preserve"> </w:t>
      </w:r>
      <w:r w:rsidR="00D973E0">
        <w:rPr>
          <w:rFonts w:ascii="Times New Roman" w:hAnsi="Times New Roman" w:cs="Times New Roman"/>
        </w:rPr>
        <w:t>(STE) at the course level</w:t>
      </w:r>
      <w:r w:rsidR="008973CC">
        <w:rPr>
          <w:rFonts w:ascii="Times New Roman" w:hAnsi="Times New Roman" w:cs="Times New Roman"/>
        </w:rPr>
        <w:t xml:space="preserve">, </w:t>
      </w:r>
      <w:r w:rsidR="00BA5E88">
        <w:rPr>
          <w:rFonts w:ascii="Times New Roman" w:hAnsi="Times New Roman" w:cs="Times New Roman"/>
        </w:rPr>
        <w:t>a natural question that arises is</w:t>
      </w:r>
      <w:r w:rsidR="00D973E0">
        <w:rPr>
          <w:rFonts w:ascii="Times New Roman" w:hAnsi="Times New Roman" w:cs="Times New Roman"/>
        </w:rPr>
        <w:t xml:space="preserve"> how from these</w:t>
      </w:r>
      <w:r w:rsidR="00172325">
        <w:rPr>
          <w:rFonts w:ascii="Times New Roman" w:hAnsi="Times New Roman" w:cs="Times New Roman"/>
        </w:rPr>
        <w:t xml:space="preserve"> we </w:t>
      </w:r>
      <w:r w:rsidR="00D973E0">
        <w:rPr>
          <w:rFonts w:ascii="Times New Roman" w:hAnsi="Times New Roman" w:cs="Times New Roman"/>
        </w:rPr>
        <w:t>may derive a</w:t>
      </w:r>
      <w:r w:rsidR="00172325">
        <w:rPr>
          <w:rFonts w:ascii="Times New Roman" w:hAnsi="Times New Roman" w:cs="Times New Roman"/>
        </w:rPr>
        <w:t xml:space="preserve"> teache</w:t>
      </w:r>
      <w:r w:rsidR="00C6425F">
        <w:rPr>
          <w:rFonts w:ascii="Times New Roman" w:hAnsi="Times New Roman" w:cs="Times New Roman"/>
        </w:rPr>
        <w:t>r’s SET score</w:t>
      </w:r>
      <w:r w:rsidR="00BA5E88">
        <w:rPr>
          <w:rFonts w:ascii="Times New Roman" w:hAnsi="Times New Roman" w:cs="Times New Roman"/>
        </w:rPr>
        <w:t>s</w:t>
      </w:r>
      <w:r w:rsidR="00D973E0">
        <w:rPr>
          <w:rFonts w:ascii="Times New Roman" w:hAnsi="Times New Roman" w:cs="Times New Roman"/>
        </w:rPr>
        <w:t>,</w:t>
      </w:r>
      <w:r w:rsidR="00BA5E88">
        <w:rPr>
          <w:rFonts w:ascii="Times New Roman" w:hAnsi="Times New Roman" w:cs="Times New Roman"/>
        </w:rPr>
        <w:t xml:space="preserve"> especially</w:t>
      </w:r>
      <w:r w:rsidR="00D973E0">
        <w:rPr>
          <w:rFonts w:ascii="Times New Roman" w:hAnsi="Times New Roman" w:cs="Times New Roman"/>
        </w:rPr>
        <w:t xml:space="preserve"> if</w:t>
      </w:r>
      <w:r w:rsidR="00C6425F">
        <w:rPr>
          <w:rFonts w:ascii="Times New Roman" w:hAnsi="Times New Roman" w:cs="Times New Roman"/>
        </w:rPr>
        <w:t xml:space="preserve"> some of them</w:t>
      </w:r>
      <w:r w:rsidR="00172325">
        <w:rPr>
          <w:rFonts w:ascii="Times New Roman" w:hAnsi="Times New Roman" w:cs="Times New Roman"/>
        </w:rPr>
        <w:t xml:space="preserve"> lecture several courses and </w:t>
      </w:r>
      <w:r w:rsidR="00BA5E88">
        <w:rPr>
          <w:rFonts w:ascii="Times New Roman" w:hAnsi="Times New Roman" w:cs="Times New Roman"/>
        </w:rPr>
        <w:t>thus had more than one</w:t>
      </w:r>
      <w:r w:rsidR="00172325">
        <w:rPr>
          <w:rFonts w:ascii="Times New Roman" w:hAnsi="Times New Roman" w:cs="Times New Roman"/>
        </w:rPr>
        <w:t xml:space="preserve"> SET scores, i.e., one for each evaluated course.  </w:t>
      </w:r>
      <w:r w:rsidR="00864219">
        <w:rPr>
          <w:rFonts w:ascii="Times New Roman" w:hAnsi="Times New Roman" w:cs="Times New Roman"/>
        </w:rPr>
        <w:t>Similar</w:t>
      </w:r>
      <w:r w:rsidR="00BA5E88">
        <w:rPr>
          <w:rFonts w:ascii="Times New Roman" w:hAnsi="Times New Roman" w:cs="Times New Roman"/>
        </w:rPr>
        <w:t xml:space="preserve"> are</w:t>
      </w:r>
      <w:r w:rsidR="00625906">
        <w:rPr>
          <w:rFonts w:ascii="Times New Roman" w:hAnsi="Times New Roman" w:cs="Times New Roman"/>
        </w:rPr>
        <w:t xml:space="preserve"> </w:t>
      </w:r>
      <w:r w:rsidR="00A455CA">
        <w:rPr>
          <w:rFonts w:ascii="Times New Roman" w:hAnsi="Times New Roman" w:cs="Times New Roman"/>
        </w:rPr>
        <w:t xml:space="preserve">for example </w:t>
      </w:r>
      <w:r w:rsidR="00625906">
        <w:rPr>
          <w:rFonts w:ascii="Times New Roman" w:hAnsi="Times New Roman" w:cs="Times New Roman"/>
        </w:rPr>
        <w:t>the problem</w:t>
      </w:r>
      <w:r w:rsidR="00BA5E88">
        <w:rPr>
          <w:rFonts w:ascii="Times New Roman" w:hAnsi="Times New Roman" w:cs="Times New Roman"/>
        </w:rPr>
        <w:t>s</w:t>
      </w:r>
      <w:r w:rsidR="00864219">
        <w:rPr>
          <w:rFonts w:ascii="Times New Roman" w:hAnsi="Times New Roman" w:cs="Times New Roman"/>
        </w:rPr>
        <w:t xml:space="preserve"> of</w:t>
      </w:r>
      <w:r w:rsidR="005A7373">
        <w:rPr>
          <w:rFonts w:ascii="Times New Roman" w:hAnsi="Times New Roman" w:cs="Times New Roman"/>
        </w:rPr>
        <w:t xml:space="preserve"> </w:t>
      </w:r>
      <w:r w:rsidR="00625906">
        <w:rPr>
          <w:rFonts w:ascii="Times New Roman" w:hAnsi="Times New Roman" w:cs="Times New Roman"/>
        </w:rPr>
        <w:t>constructing</w:t>
      </w:r>
      <w:r w:rsidR="003B38D7">
        <w:rPr>
          <w:rFonts w:ascii="Times New Roman" w:hAnsi="Times New Roman" w:cs="Times New Roman"/>
        </w:rPr>
        <w:t xml:space="preserve"> </w:t>
      </w:r>
      <w:r w:rsidR="00C6425F">
        <w:rPr>
          <w:rFonts w:ascii="Times New Roman" w:hAnsi="Times New Roman" w:cs="Times New Roman"/>
        </w:rPr>
        <w:t>a country</w:t>
      </w:r>
      <w:r w:rsidR="00BA5E88">
        <w:rPr>
          <w:rFonts w:ascii="Times New Roman" w:hAnsi="Times New Roman" w:cs="Times New Roman"/>
        </w:rPr>
        <w:t xml:space="preserve"> Quality of Life</w:t>
      </w:r>
      <w:r w:rsidR="003B38D7">
        <w:rPr>
          <w:rFonts w:ascii="Times New Roman" w:hAnsi="Times New Roman" w:cs="Times New Roman"/>
        </w:rPr>
        <w:t xml:space="preserve"> indicator </w:t>
      </w:r>
      <w:r w:rsidR="00864219">
        <w:rPr>
          <w:rFonts w:ascii="Times New Roman" w:hAnsi="Times New Roman" w:cs="Times New Roman"/>
        </w:rPr>
        <w:t>based on city-level</w:t>
      </w:r>
      <w:r w:rsidR="006F3AA6">
        <w:rPr>
          <w:rFonts w:ascii="Times New Roman" w:hAnsi="Times New Roman" w:cs="Times New Roman"/>
        </w:rPr>
        <w:t xml:space="preserve"> results</w:t>
      </w:r>
      <w:r w:rsidR="00A455CA">
        <w:rPr>
          <w:rFonts w:ascii="Times New Roman" w:hAnsi="Times New Roman" w:cs="Times New Roman"/>
        </w:rPr>
        <w:t>,</w:t>
      </w:r>
      <w:r w:rsidR="00BA5E88">
        <w:rPr>
          <w:rFonts w:ascii="Times New Roman" w:hAnsi="Times New Roman" w:cs="Times New Roman"/>
        </w:rPr>
        <w:t xml:space="preserve"> </w:t>
      </w:r>
      <w:r w:rsidR="00864219">
        <w:rPr>
          <w:rFonts w:ascii="Times New Roman" w:hAnsi="Times New Roman" w:cs="Times New Roman"/>
        </w:rPr>
        <w:t xml:space="preserve">or </w:t>
      </w:r>
      <w:r w:rsidR="006F3AA6">
        <w:rPr>
          <w:rFonts w:ascii="Times New Roman" w:hAnsi="Times New Roman" w:cs="Times New Roman"/>
        </w:rPr>
        <w:t>of estimating</w:t>
      </w:r>
      <w:r w:rsidR="00BA5E88">
        <w:rPr>
          <w:rFonts w:ascii="Times New Roman" w:hAnsi="Times New Roman" w:cs="Times New Roman"/>
        </w:rPr>
        <w:t xml:space="preserve"> a Human Development Index </w:t>
      </w:r>
      <w:r w:rsidR="00431567">
        <w:rPr>
          <w:rFonts w:ascii="Times New Roman" w:hAnsi="Times New Roman" w:cs="Times New Roman"/>
        </w:rPr>
        <w:t>for</w:t>
      </w:r>
      <w:r w:rsidR="00E411C7">
        <w:rPr>
          <w:rFonts w:ascii="Times New Roman" w:hAnsi="Times New Roman" w:cs="Times New Roman"/>
        </w:rPr>
        <w:t xml:space="preserve"> </w:t>
      </w:r>
      <w:r w:rsidR="006F158D">
        <w:rPr>
          <w:rFonts w:ascii="Times New Roman" w:hAnsi="Times New Roman" w:cs="Times New Roman"/>
        </w:rPr>
        <w:t xml:space="preserve">developed and less developed </w:t>
      </w:r>
      <w:r w:rsidR="00E411C7">
        <w:rPr>
          <w:rFonts w:ascii="Times New Roman" w:hAnsi="Times New Roman" w:cs="Times New Roman"/>
        </w:rPr>
        <w:t>countries using</w:t>
      </w:r>
      <w:r w:rsidR="00C6425F">
        <w:rPr>
          <w:rFonts w:ascii="Times New Roman" w:hAnsi="Times New Roman" w:cs="Times New Roman"/>
        </w:rPr>
        <w:t xml:space="preserve"> </w:t>
      </w:r>
      <w:r w:rsidR="00F30F3E">
        <w:rPr>
          <w:rFonts w:ascii="Times New Roman" w:hAnsi="Times New Roman" w:cs="Times New Roman"/>
        </w:rPr>
        <w:t xml:space="preserve">country-level </w:t>
      </w:r>
      <w:r w:rsidR="006F3AA6">
        <w:rPr>
          <w:rFonts w:ascii="Times New Roman" w:hAnsi="Times New Roman" w:cs="Times New Roman"/>
        </w:rPr>
        <w:t>scores</w:t>
      </w:r>
      <w:r w:rsidR="00431567">
        <w:rPr>
          <w:rFonts w:ascii="Times New Roman" w:hAnsi="Times New Roman" w:cs="Times New Roman"/>
        </w:rPr>
        <w:t>,</w:t>
      </w:r>
      <w:r w:rsidR="00864219">
        <w:rPr>
          <w:rFonts w:ascii="Times New Roman" w:hAnsi="Times New Roman" w:cs="Times New Roman"/>
        </w:rPr>
        <w:t xml:space="preserve"> or</w:t>
      </w:r>
      <w:r w:rsidR="00A455CA">
        <w:rPr>
          <w:rFonts w:ascii="Times New Roman" w:hAnsi="Times New Roman" w:cs="Times New Roman"/>
        </w:rPr>
        <w:t xml:space="preserve"> </w:t>
      </w:r>
      <w:r w:rsidR="00864219">
        <w:rPr>
          <w:rFonts w:ascii="Times New Roman" w:hAnsi="Times New Roman" w:cs="Times New Roman"/>
        </w:rPr>
        <w:t xml:space="preserve">of </w:t>
      </w:r>
      <w:r w:rsidR="00A455CA">
        <w:rPr>
          <w:rFonts w:ascii="Times New Roman" w:hAnsi="Times New Roman" w:cs="Times New Roman"/>
        </w:rPr>
        <w:t>estimating a continental Techno</w:t>
      </w:r>
      <w:r w:rsidR="006F3AA6">
        <w:rPr>
          <w:rFonts w:ascii="Times New Roman" w:hAnsi="Times New Roman" w:cs="Times New Roman"/>
        </w:rPr>
        <w:t>logy Achievement Index using</w:t>
      </w:r>
      <w:r w:rsidR="00A455CA">
        <w:rPr>
          <w:rFonts w:ascii="Times New Roman" w:hAnsi="Times New Roman" w:cs="Times New Roman"/>
        </w:rPr>
        <w:t xml:space="preserve"> c</w:t>
      </w:r>
      <w:r w:rsidR="007D376D">
        <w:rPr>
          <w:rFonts w:ascii="Times New Roman" w:hAnsi="Times New Roman" w:cs="Times New Roman"/>
        </w:rPr>
        <w:t>ountry-level indices,</w:t>
      </w:r>
      <w:r w:rsidR="00864219">
        <w:rPr>
          <w:rFonts w:ascii="Times New Roman" w:hAnsi="Times New Roman" w:cs="Times New Roman"/>
        </w:rPr>
        <w:t xml:space="preserve"> or of</w:t>
      </w:r>
      <w:r w:rsidR="00431567">
        <w:rPr>
          <w:rFonts w:ascii="Times New Roman" w:hAnsi="Times New Roman" w:cs="Times New Roman"/>
        </w:rPr>
        <w:t xml:space="preserve"> aggregating Envir</w:t>
      </w:r>
      <w:r w:rsidR="00864219">
        <w:rPr>
          <w:rFonts w:ascii="Times New Roman" w:hAnsi="Times New Roman" w:cs="Times New Roman"/>
        </w:rPr>
        <w:t>onmental Performance Indices across</w:t>
      </w:r>
      <w:r w:rsidR="00431567">
        <w:rPr>
          <w:rFonts w:ascii="Times New Roman" w:hAnsi="Times New Roman" w:cs="Times New Roman"/>
        </w:rPr>
        <w:t xml:space="preserve"> different</w:t>
      </w:r>
      <w:r w:rsidR="00D068BD">
        <w:rPr>
          <w:rFonts w:ascii="Times New Roman" w:hAnsi="Times New Roman" w:cs="Times New Roman"/>
        </w:rPr>
        <w:t xml:space="preserve"> cluster</w:t>
      </w:r>
      <w:r w:rsidR="00864219">
        <w:rPr>
          <w:rFonts w:ascii="Times New Roman" w:hAnsi="Times New Roman" w:cs="Times New Roman"/>
        </w:rPr>
        <w:t>/groups</w:t>
      </w:r>
      <w:r w:rsidR="00D068BD">
        <w:rPr>
          <w:rFonts w:ascii="Times New Roman" w:hAnsi="Times New Roman" w:cs="Times New Roman"/>
        </w:rPr>
        <w:t xml:space="preserve"> of countries</w:t>
      </w:r>
      <w:r w:rsidR="00625906">
        <w:rPr>
          <w:rFonts w:ascii="Times New Roman" w:hAnsi="Times New Roman" w:cs="Times New Roman"/>
        </w:rPr>
        <w:t>.</w:t>
      </w:r>
      <w:r w:rsidR="0029707F">
        <w:rPr>
          <w:rFonts w:ascii="Times New Roman" w:hAnsi="Times New Roman" w:cs="Times New Roman"/>
        </w:rPr>
        <w:t xml:space="preserve"> </w:t>
      </w:r>
    </w:p>
    <w:p w14:paraId="3E1AE7FF" w14:textId="33864424" w:rsidR="008973CC" w:rsidRDefault="008973CC" w:rsidP="00BC7BE7">
      <w:pPr>
        <w:spacing w:line="360" w:lineRule="auto"/>
        <w:ind w:firstLine="720"/>
        <w:jc w:val="both"/>
        <w:rPr>
          <w:rFonts w:ascii="Times New Roman" w:hAnsi="Times New Roman" w:cs="Times New Roman"/>
        </w:rPr>
      </w:pPr>
      <w:r>
        <w:rPr>
          <w:rFonts w:ascii="Times New Roman" w:hAnsi="Times New Roman" w:cs="Times New Roman"/>
        </w:rPr>
        <w:t xml:space="preserve">To answer these </w:t>
      </w:r>
      <w:r w:rsidR="006F3AA6">
        <w:rPr>
          <w:rFonts w:ascii="Times New Roman" w:hAnsi="Times New Roman" w:cs="Times New Roman"/>
        </w:rPr>
        <w:t>and similar</w:t>
      </w:r>
      <w:r w:rsidR="004A6845">
        <w:rPr>
          <w:rFonts w:ascii="Times New Roman" w:hAnsi="Times New Roman" w:cs="Times New Roman"/>
        </w:rPr>
        <w:t xml:space="preserve"> </w:t>
      </w:r>
      <w:r>
        <w:rPr>
          <w:rFonts w:ascii="Times New Roman" w:hAnsi="Times New Roman" w:cs="Times New Roman"/>
        </w:rPr>
        <w:t xml:space="preserve">questions </w:t>
      </w:r>
      <w:r w:rsidR="00BA5E88">
        <w:rPr>
          <w:rFonts w:ascii="Times New Roman" w:hAnsi="Times New Roman" w:cs="Times New Roman"/>
        </w:rPr>
        <w:t>for other composite i</w:t>
      </w:r>
      <w:r w:rsidR="008B7EBA">
        <w:rPr>
          <w:rFonts w:ascii="Times New Roman" w:hAnsi="Times New Roman" w:cs="Times New Roman"/>
        </w:rPr>
        <w:t>ndicators</w:t>
      </w:r>
      <w:r w:rsidR="00BA5E88">
        <w:rPr>
          <w:rFonts w:ascii="Times New Roman" w:hAnsi="Times New Roman" w:cs="Times New Roman"/>
        </w:rPr>
        <w:t xml:space="preserve"> we need</w:t>
      </w:r>
      <w:r w:rsidR="004A6845">
        <w:rPr>
          <w:rFonts w:ascii="Times New Roman" w:hAnsi="Times New Roman" w:cs="Times New Roman"/>
        </w:rPr>
        <w:t xml:space="preserve"> a</w:t>
      </w:r>
      <w:r w:rsidR="00BA5E88">
        <w:rPr>
          <w:rFonts w:ascii="Times New Roman" w:hAnsi="Times New Roman" w:cs="Times New Roman"/>
        </w:rPr>
        <w:t xml:space="preserve"> theoretically consistent</w:t>
      </w:r>
      <w:r w:rsidR="006F3AA6">
        <w:rPr>
          <w:rFonts w:ascii="Times New Roman" w:hAnsi="Times New Roman" w:cs="Times New Roman"/>
        </w:rPr>
        <w:t xml:space="preserve"> way to aggregate across</w:t>
      </w:r>
      <w:r>
        <w:rPr>
          <w:rFonts w:ascii="Times New Roman" w:hAnsi="Times New Roman" w:cs="Times New Roman"/>
        </w:rPr>
        <w:t xml:space="preserve"> all or some of </w:t>
      </w:r>
      <w:r w:rsidR="00625906">
        <w:rPr>
          <w:rFonts w:ascii="Times New Roman" w:hAnsi="Times New Roman" w:cs="Times New Roman"/>
        </w:rPr>
        <w:t xml:space="preserve">the </w:t>
      </w:r>
      <w:r w:rsidR="006F3AA6">
        <w:rPr>
          <w:rFonts w:ascii="Times New Roman" w:hAnsi="Times New Roman" w:cs="Times New Roman"/>
        </w:rPr>
        <w:t>evaluated</w:t>
      </w:r>
      <w:r w:rsidR="00BA5E88">
        <w:rPr>
          <w:rFonts w:ascii="Times New Roman" w:hAnsi="Times New Roman" w:cs="Times New Roman"/>
        </w:rPr>
        <w:t xml:space="preserve"> </w:t>
      </w:r>
      <w:r>
        <w:rPr>
          <w:rFonts w:ascii="Times New Roman" w:hAnsi="Times New Roman" w:cs="Times New Roman"/>
        </w:rPr>
        <w:t>units</w:t>
      </w:r>
      <w:r w:rsidR="00226F96">
        <w:rPr>
          <w:rFonts w:ascii="Times New Roman" w:hAnsi="Times New Roman" w:cs="Times New Roman"/>
        </w:rPr>
        <w:t xml:space="preserve">.  </w:t>
      </w:r>
      <w:r w:rsidR="00C74544">
        <w:rPr>
          <w:rFonts w:ascii="Times New Roman" w:hAnsi="Times New Roman" w:cs="Times New Roman"/>
        </w:rPr>
        <w:t xml:space="preserve">By theoretically consistent </w:t>
      </w:r>
      <w:r w:rsidR="006F3AA6">
        <w:rPr>
          <w:rFonts w:ascii="Times New Roman" w:hAnsi="Times New Roman" w:cs="Times New Roman"/>
        </w:rPr>
        <w:t xml:space="preserve">way </w:t>
      </w:r>
      <w:r w:rsidR="00C74544">
        <w:rPr>
          <w:rFonts w:ascii="Times New Roman" w:hAnsi="Times New Roman" w:cs="Times New Roman"/>
        </w:rPr>
        <w:t>we mean that</w:t>
      </w:r>
      <w:r w:rsidR="006F3AA6">
        <w:rPr>
          <w:rFonts w:ascii="Times New Roman" w:hAnsi="Times New Roman" w:cs="Times New Roman"/>
        </w:rPr>
        <w:t xml:space="preserve"> the resulting aggregate composite indicator will have</w:t>
      </w:r>
      <w:r w:rsidR="00C74544">
        <w:rPr>
          <w:rFonts w:ascii="Times New Roman" w:hAnsi="Times New Roman" w:cs="Times New Roman"/>
        </w:rPr>
        <w:t xml:space="preserve"> exactly the same intuitive interpretation as the individual ones.  </w:t>
      </w:r>
      <w:r w:rsidR="00B8333C">
        <w:rPr>
          <w:rFonts w:ascii="Times New Roman" w:hAnsi="Times New Roman" w:cs="Times New Roman"/>
        </w:rPr>
        <w:t>This necessitates the development of an aggregation scheme</w:t>
      </w:r>
      <w:r w:rsidR="00226F96">
        <w:rPr>
          <w:rFonts w:ascii="Times New Roman" w:hAnsi="Times New Roman" w:cs="Times New Roman"/>
        </w:rPr>
        <w:t xml:space="preserve"> that is </w:t>
      </w:r>
      <w:r w:rsidR="00BA5E88">
        <w:rPr>
          <w:rFonts w:ascii="Times New Roman" w:hAnsi="Times New Roman" w:cs="Times New Roman"/>
        </w:rPr>
        <w:t>compatible with</w:t>
      </w:r>
      <w:r w:rsidR="007A521E">
        <w:rPr>
          <w:rFonts w:ascii="Times New Roman" w:hAnsi="Times New Roman" w:cs="Times New Roman"/>
        </w:rPr>
        <w:t xml:space="preserve"> the </w:t>
      </w:r>
      <w:proofErr w:type="spellStart"/>
      <w:r w:rsidR="007A521E">
        <w:rPr>
          <w:rFonts w:ascii="Times New Roman" w:hAnsi="Times New Roman" w:cs="Times New Roman"/>
        </w:rPr>
        <w:t>BoD</w:t>
      </w:r>
      <w:proofErr w:type="spellEnd"/>
      <w:r w:rsidR="007A521E">
        <w:rPr>
          <w:rFonts w:ascii="Times New Roman" w:hAnsi="Times New Roman" w:cs="Times New Roman"/>
        </w:rPr>
        <w:t xml:space="preserve"> model</w:t>
      </w:r>
      <w:r w:rsidR="00D973E0">
        <w:rPr>
          <w:rFonts w:ascii="Times New Roman" w:hAnsi="Times New Roman" w:cs="Times New Roman"/>
        </w:rPr>
        <w:t xml:space="preserve"> and which</w:t>
      </w:r>
      <w:r w:rsidR="00B8333C">
        <w:rPr>
          <w:rFonts w:ascii="Times New Roman" w:hAnsi="Times New Roman" w:cs="Times New Roman"/>
        </w:rPr>
        <w:t xml:space="preserve"> </w:t>
      </w:r>
      <w:r w:rsidR="004A6845">
        <w:rPr>
          <w:rFonts w:ascii="Times New Roman" w:hAnsi="Times New Roman" w:cs="Times New Roman"/>
        </w:rPr>
        <w:t xml:space="preserve">involves the choice of </w:t>
      </w:r>
      <w:r w:rsidR="00B8333C">
        <w:rPr>
          <w:rFonts w:ascii="Times New Roman" w:hAnsi="Times New Roman" w:cs="Times New Roman"/>
        </w:rPr>
        <w:t xml:space="preserve">aggregation </w:t>
      </w:r>
      <w:r w:rsidR="004A6845">
        <w:rPr>
          <w:rFonts w:ascii="Times New Roman" w:hAnsi="Times New Roman" w:cs="Times New Roman"/>
        </w:rPr>
        <w:t>weights as well as the type of average to be used.</w:t>
      </w:r>
      <w:r w:rsidR="00B8333C">
        <w:rPr>
          <w:rStyle w:val="EndnoteReference"/>
          <w:rFonts w:ascii="Times New Roman" w:hAnsi="Times New Roman" w:cs="Times New Roman"/>
        </w:rPr>
        <w:t xml:space="preserve"> </w:t>
      </w:r>
      <w:r w:rsidR="00D973E0">
        <w:rPr>
          <w:rFonts w:ascii="Times New Roman" w:hAnsi="Times New Roman" w:cs="Times New Roman"/>
        </w:rPr>
        <w:t xml:space="preserve"> </w:t>
      </w:r>
      <w:proofErr w:type="spellStart"/>
      <w:r w:rsidR="008B7EBA">
        <w:rPr>
          <w:rFonts w:ascii="Times New Roman" w:hAnsi="Times New Roman" w:cs="Times New Roman"/>
        </w:rPr>
        <w:t>Morais</w:t>
      </w:r>
      <w:proofErr w:type="spellEnd"/>
      <w:r w:rsidR="008B7EBA">
        <w:rPr>
          <w:rFonts w:ascii="Times New Roman" w:hAnsi="Times New Roman" w:cs="Times New Roman"/>
        </w:rPr>
        <w:t xml:space="preserve"> and </w:t>
      </w:r>
      <w:proofErr w:type="spellStart"/>
      <w:r w:rsidR="008B7EBA">
        <w:rPr>
          <w:rFonts w:ascii="Times New Roman" w:hAnsi="Times New Roman" w:cs="Times New Roman"/>
        </w:rPr>
        <w:t>Camanho</w:t>
      </w:r>
      <w:proofErr w:type="spellEnd"/>
      <w:r w:rsidR="008B7EBA">
        <w:rPr>
          <w:rFonts w:ascii="Times New Roman" w:hAnsi="Times New Roman" w:cs="Times New Roman"/>
        </w:rPr>
        <w:t xml:space="preserve"> (2011), who are the only ones </w:t>
      </w:r>
      <w:r w:rsidR="00D973E0">
        <w:rPr>
          <w:rFonts w:ascii="Times New Roman" w:hAnsi="Times New Roman" w:cs="Times New Roman"/>
        </w:rPr>
        <w:t xml:space="preserve">in the literature </w:t>
      </w:r>
      <w:r w:rsidR="008B7EBA">
        <w:rPr>
          <w:rFonts w:ascii="Times New Roman" w:hAnsi="Times New Roman" w:cs="Times New Roman"/>
        </w:rPr>
        <w:t>that</w:t>
      </w:r>
      <w:r w:rsidR="00594B5D">
        <w:rPr>
          <w:rFonts w:ascii="Times New Roman" w:hAnsi="Times New Roman" w:cs="Times New Roman"/>
        </w:rPr>
        <w:t xml:space="preserve"> have</w:t>
      </w:r>
      <w:r w:rsidR="008B7EBA">
        <w:rPr>
          <w:rFonts w:ascii="Times New Roman" w:hAnsi="Times New Roman" w:cs="Times New Roman"/>
        </w:rPr>
        <w:t xml:space="preserve"> touched this aggregation question for the </w:t>
      </w:r>
      <w:proofErr w:type="spellStart"/>
      <w:r w:rsidR="008B7EBA">
        <w:rPr>
          <w:rFonts w:ascii="Times New Roman" w:hAnsi="Times New Roman" w:cs="Times New Roman"/>
        </w:rPr>
        <w:t>BoD</w:t>
      </w:r>
      <w:proofErr w:type="spellEnd"/>
      <w:r w:rsidR="008B7EBA">
        <w:rPr>
          <w:rFonts w:ascii="Times New Roman" w:hAnsi="Times New Roman" w:cs="Times New Roman"/>
        </w:rPr>
        <w:t xml:space="preserve"> model, noticed in passing that</w:t>
      </w:r>
      <w:r w:rsidR="00BA5E88">
        <w:rPr>
          <w:rFonts w:ascii="Times New Roman" w:hAnsi="Times New Roman" w:cs="Times New Roman"/>
        </w:rPr>
        <w:t xml:space="preserve"> the</w:t>
      </w:r>
      <w:r w:rsidR="00C430E0">
        <w:rPr>
          <w:rFonts w:ascii="Times New Roman" w:hAnsi="Times New Roman" w:cs="Times New Roman"/>
        </w:rPr>
        <w:t xml:space="preserve"> </w:t>
      </w:r>
      <w:r w:rsidR="00D973E0">
        <w:rPr>
          <w:rFonts w:ascii="Times New Roman" w:hAnsi="Times New Roman" w:cs="Times New Roman"/>
        </w:rPr>
        <w:t xml:space="preserve">use of the </w:t>
      </w:r>
      <w:r w:rsidR="0029707F">
        <w:rPr>
          <w:rFonts w:ascii="Times New Roman" w:hAnsi="Times New Roman" w:cs="Times New Roman"/>
        </w:rPr>
        <w:t xml:space="preserve">arithmetic average requires the </w:t>
      </w:r>
      <w:r w:rsidR="00BA5E88">
        <w:rPr>
          <w:rFonts w:ascii="Times New Roman" w:hAnsi="Times New Roman" w:cs="Times New Roman"/>
        </w:rPr>
        <w:t>weights for each sub-indica</w:t>
      </w:r>
      <w:r w:rsidR="00045351">
        <w:rPr>
          <w:rFonts w:ascii="Times New Roman" w:hAnsi="Times New Roman" w:cs="Times New Roman"/>
        </w:rPr>
        <w:t xml:space="preserve">tor to be equal across all </w:t>
      </w:r>
      <w:r w:rsidR="00594B5D">
        <w:rPr>
          <w:rFonts w:ascii="Times New Roman" w:hAnsi="Times New Roman" w:cs="Times New Roman"/>
        </w:rPr>
        <w:t>the evaluated units</w:t>
      </w:r>
      <w:r w:rsidR="008B7EBA">
        <w:rPr>
          <w:rFonts w:ascii="Times New Roman" w:hAnsi="Times New Roman" w:cs="Times New Roman"/>
        </w:rPr>
        <w:t xml:space="preserve">.  </w:t>
      </w:r>
      <w:r w:rsidR="00B8333C">
        <w:rPr>
          <w:rFonts w:ascii="Times New Roman" w:hAnsi="Times New Roman" w:cs="Times New Roman"/>
        </w:rPr>
        <w:t>In what follows we examine both</w:t>
      </w:r>
      <w:r w:rsidR="00594B5D">
        <w:rPr>
          <w:rFonts w:ascii="Times New Roman" w:hAnsi="Times New Roman" w:cs="Times New Roman"/>
        </w:rPr>
        <w:t xml:space="preserve"> </w:t>
      </w:r>
      <w:r w:rsidR="00B8333C">
        <w:rPr>
          <w:rFonts w:ascii="Times New Roman" w:hAnsi="Times New Roman" w:cs="Times New Roman"/>
        </w:rPr>
        <w:t>questions</w:t>
      </w:r>
      <w:r w:rsidR="008B7EBA">
        <w:rPr>
          <w:rFonts w:ascii="Times New Roman" w:hAnsi="Times New Roman" w:cs="Times New Roman"/>
        </w:rPr>
        <w:t xml:space="preserve"> to derive a theoretically consistent aggregation scheme for the </w:t>
      </w:r>
      <w:proofErr w:type="spellStart"/>
      <w:r w:rsidR="008B7EBA">
        <w:rPr>
          <w:rFonts w:ascii="Times New Roman" w:hAnsi="Times New Roman" w:cs="Times New Roman"/>
        </w:rPr>
        <w:t>BoD</w:t>
      </w:r>
      <w:proofErr w:type="spellEnd"/>
      <w:r w:rsidR="008B7EBA">
        <w:rPr>
          <w:rFonts w:ascii="Times New Roman" w:hAnsi="Times New Roman" w:cs="Times New Roman"/>
        </w:rPr>
        <w:t xml:space="preserve"> model.  </w:t>
      </w:r>
      <w:r>
        <w:rPr>
          <w:rFonts w:ascii="Times New Roman" w:hAnsi="Times New Roman" w:cs="Times New Roman"/>
        </w:rPr>
        <w:t xml:space="preserve"> </w:t>
      </w:r>
    </w:p>
    <w:p w14:paraId="7B958A4D" w14:textId="15454337" w:rsidR="00DE2B03" w:rsidRDefault="008B7EBA" w:rsidP="00DE2B03">
      <w:pPr>
        <w:spacing w:line="360" w:lineRule="auto"/>
        <w:jc w:val="both"/>
        <w:rPr>
          <w:rFonts w:ascii="Times New Roman" w:hAnsi="Times New Roman" w:cs="Times New Roman"/>
        </w:rPr>
      </w:pPr>
      <w:r>
        <w:rPr>
          <w:rFonts w:ascii="Times New Roman" w:hAnsi="Times New Roman" w:cs="Times New Roman"/>
        </w:rPr>
        <w:tab/>
        <w:t>In particular,</w:t>
      </w:r>
      <w:r w:rsidR="00DE2B03">
        <w:rPr>
          <w:rFonts w:ascii="Times New Roman" w:hAnsi="Times New Roman" w:cs="Times New Roman"/>
        </w:rPr>
        <w:t xml:space="preserve"> we </w:t>
      </w:r>
      <w:r w:rsidR="00594B5D">
        <w:rPr>
          <w:rFonts w:ascii="Times New Roman" w:hAnsi="Times New Roman" w:cs="Times New Roman"/>
        </w:rPr>
        <w:t>verify</w:t>
      </w:r>
      <w:r w:rsidR="003720AC">
        <w:rPr>
          <w:rFonts w:ascii="Times New Roman" w:hAnsi="Times New Roman" w:cs="Times New Roman"/>
        </w:rPr>
        <w:t xml:space="preserve"> that the</w:t>
      </w:r>
      <w:r w:rsidR="00DE2B03">
        <w:rPr>
          <w:rFonts w:ascii="Times New Roman" w:hAnsi="Times New Roman" w:cs="Times New Roman"/>
        </w:rPr>
        <w:t xml:space="preserve"> un</w:t>
      </w:r>
      <w:r w:rsidR="00596B32">
        <w:rPr>
          <w:rFonts w:ascii="Times New Roman" w:hAnsi="Times New Roman" w:cs="Times New Roman"/>
        </w:rPr>
        <w:t>-</w:t>
      </w:r>
      <w:r w:rsidR="00DE2B03">
        <w:rPr>
          <w:rFonts w:ascii="Times New Roman" w:hAnsi="Times New Roman" w:cs="Times New Roman"/>
        </w:rPr>
        <w:t xml:space="preserve">weighted arithmetic average is </w:t>
      </w:r>
      <w:r w:rsidR="003720AC">
        <w:rPr>
          <w:rFonts w:ascii="Times New Roman" w:hAnsi="Times New Roman" w:cs="Times New Roman"/>
        </w:rPr>
        <w:t xml:space="preserve">indeed </w:t>
      </w:r>
      <w:r w:rsidR="00DE2B03">
        <w:rPr>
          <w:rFonts w:ascii="Times New Roman" w:hAnsi="Times New Roman" w:cs="Times New Roman"/>
        </w:rPr>
        <w:t>the theoretically consiste</w:t>
      </w:r>
      <w:r w:rsidR="00596B32">
        <w:rPr>
          <w:rFonts w:ascii="Times New Roman" w:hAnsi="Times New Roman" w:cs="Times New Roman"/>
        </w:rPr>
        <w:t xml:space="preserve">nt aggregation scheme for the </w:t>
      </w:r>
      <w:proofErr w:type="spellStart"/>
      <w:r w:rsidR="00596B32">
        <w:rPr>
          <w:rFonts w:ascii="Times New Roman" w:hAnsi="Times New Roman" w:cs="Times New Roman"/>
        </w:rPr>
        <w:t>Bo</w:t>
      </w:r>
      <w:r w:rsidR="00DE2B03">
        <w:rPr>
          <w:rFonts w:ascii="Times New Roman" w:hAnsi="Times New Roman" w:cs="Times New Roman"/>
        </w:rPr>
        <w:t>D</w:t>
      </w:r>
      <w:proofErr w:type="spellEnd"/>
      <w:r w:rsidR="00DE2B03">
        <w:rPr>
          <w:rFonts w:ascii="Times New Roman" w:hAnsi="Times New Roman" w:cs="Times New Roman"/>
        </w:rPr>
        <w:t xml:space="preserve"> model</w:t>
      </w:r>
      <w:r w:rsidR="00D973E0">
        <w:rPr>
          <w:rFonts w:ascii="Times New Roman" w:hAnsi="Times New Roman" w:cs="Times New Roman"/>
        </w:rPr>
        <w:t xml:space="preserve"> without requiring </w:t>
      </w:r>
      <w:r w:rsidR="00A86578">
        <w:rPr>
          <w:rFonts w:ascii="Times New Roman" w:hAnsi="Times New Roman" w:cs="Times New Roman"/>
        </w:rPr>
        <w:t xml:space="preserve">however </w:t>
      </w:r>
      <w:r w:rsidR="00D973E0">
        <w:rPr>
          <w:rFonts w:ascii="Times New Roman" w:hAnsi="Times New Roman" w:cs="Times New Roman"/>
        </w:rPr>
        <w:t>equal weights for all sub-indicators considered</w:t>
      </w:r>
      <w:r w:rsidR="00DE2B03">
        <w:rPr>
          <w:rFonts w:ascii="Times New Roman" w:hAnsi="Times New Roman" w:cs="Times New Roman"/>
        </w:rPr>
        <w:t xml:space="preserve">.  To prove that we rely on </w:t>
      </w:r>
      <w:proofErr w:type="spellStart"/>
      <w:r w:rsidR="00AE1329" w:rsidRPr="000D0C3F">
        <w:rPr>
          <w:rFonts w:ascii="Times New Roman" w:hAnsi="Times New Roman" w:cs="Times New Roman"/>
        </w:rPr>
        <w:t>Färe</w:t>
      </w:r>
      <w:proofErr w:type="spellEnd"/>
      <w:r w:rsidR="003720AC">
        <w:rPr>
          <w:rFonts w:ascii="Times New Roman" w:hAnsi="Times New Roman" w:cs="Times New Roman"/>
        </w:rPr>
        <w:t xml:space="preserve"> and </w:t>
      </w:r>
      <w:proofErr w:type="spellStart"/>
      <w:r w:rsidR="003720AC">
        <w:rPr>
          <w:rFonts w:ascii="Times New Roman" w:hAnsi="Times New Roman" w:cs="Times New Roman"/>
        </w:rPr>
        <w:t>Zelenyuk</w:t>
      </w:r>
      <w:proofErr w:type="spellEnd"/>
      <w:r w:rsidR="003720AC">
        <w:rPr>
          <w:rFonts w:ascii="Times New Roman" w:hAnsi="Times New Roman" w:cs="Times New Roman"/>
        </w:rPr>
        <w:t xml:space="preserve"> (2003) and </w:t>
      </w:r>
      <w:proofErr w:type="spellStart"/>
      <w:r w:rsidR="005A7373" w:rsidRPr="000D0C3F">
        <w:rPr>
          <w:rFonts w:ascii="Times New Roman" w:hAnsi="Times New Roman" w:cs="Times New Roman"/>
        </w:rPr>
        <w:t>Färe</w:t>
      </w:r>
      <w:proofErr w:type="spellEnd"/>
      <w:r w:rsidR="003720AC">
        <w:rPr>
          <w:rFonts w:ascii="Times New Roman" w:hAnsi="Times New Roman" w:cs="Times New Roman"/>
        </w:rPr>
        <w:t xml:space="preserve"> and </w:t>
      </w:r>
      <w:proofErr w:type="spellStart"/>
      <w:r w:rsidR="003720AC">
        <w:rPr>
          <w:rFonts w:ascii="Times New Roman" w:hAnsi="Times New Roman" w:cs="Times New Roman"/>
        </w:rPr>
        <w:t>Grosskopf</w:t>
      </w:r>
      <w:proofErr w:type="spellEnd"/>
      <w:r w:rsidR="003720AC">
        <w:rPr>
          <w:rFonts w:ascii="Times New Roman" w:hAnsi="Times New Roman" w:cs="Times New Roman"/>
        </w:rPr>
        <w:t xml:space="preserve"> (2004)</w:t>
      </w:r>
      <w:r w:rsidR="00DE2B03">
        <w:rPr>
          <w:rFonts w:ascii="Times New Roman" w:hAnsi="Times New Roman" w:cs="Times New Roman"/>
        </w:rPr>
        <w:t xml:space="preserve"> result</w:t>
      </w:r>
      <w:r w:rsidR="003249F9">
        <w:rPr>
          <w:rFonts w:ascii="Times New Roman" w:hAnsi="Times New Roman" w:cs="Times New Roman"/>
        </w:rPr>
        <w:t>s</w:t>
      </w:r>
      <w:r w:rsidR="00DE2B03">
        <w:rPr>
          <w:rFonts w:ascii="Times New Roman" w:hAnsi="Times New Roman" w:cs="Times New Roman"/>
        </w:rPr>
        <w:t xml:space="preserve"> on a</w:t>
      </w:r>
      <w:r w:rsidR="003720AC">
        <w:rPr>
          <w:rFonts w:ascii="Times New Roman" w:hAnsi="Times New Roman" w:cs="Times New Roman"/>
        </w:rPr>
        <w:t>ggregate Farrell efficiencies</w:t>
      </w:r>
      <w:r w:rsidR="00DE2B03">
        <w:rPr>
          <w:rFonts w:ascii="Times New Roman" w:hAnsi="Times New Roman" w:cs="Times New Roman"/>
        </w:rPr>
        <w:t xml:space="preserve"> and </w:t>
      </w:r>
      <w:r w:rsidR="003720AC">
        <w:rPr>
          <w:rFonts w:ascii="Times New Roman" w:hAnsi="Times New Roman" w:cs="Times New Roman"/>
        </w:rPr>
        <w:t xml:space="preserve">the fact </w:t>
      </w:r>
      <w:r w:rsidR="00DE2B03">
        <w:rPr>
          <w:rFonts w:ascii="Times New Roman" w:hAnsi="Times New Roman" w:cs="Times New Roman"/>
        </w:rPr>
        <w:t xml:space="preserve">that the </w:t>
      </w:r>
      <w:proofErr w:type="spellStart"/>
      <w:r w:rsidR="00DE2B03">
        <w:rPr>
          <w:rFonts w:ascii="Times New Roman" w:hAnsi="Times New Roman" w:cs="Times New Roman"/>
        </w:rPr>
        <w:t>B</w:t>
      </w:r>
      <w:r w:rsidR="00596B32">
        <w:rPr>
          <w:rFonts w:ascii="Times New Roman" w:hAnsi="Times New Roman" w:cs="Times New Roman"/>
        </w:rPr>
        <w:t>o</w:t>
      </w:r>
      <w:r w:rsidR="003720AC">
        <w:rPr>
          <w:rFonts w:ascii="Times New Roman" w:hAnsi="Times New Roman" w:cs="Times New Roman"/>
        </w:rPr>
        <w:t>D</w:t>
      </w:r>
      <w:proofErr w:type="spellEnd"/>
      <w:r w:rsidR="003720AC">
        <w:rPr>
          <w:rFonts w:ascii="Times New Roman" w:hAnsi="Times New Roman" w:cs="Times New Roman"/>
        </w:rPr>
        <w:t xml:space="preserve"> model is</w:t>
      </w:r>
      <w:r w:rsidR="00DE2B03">
        <w:rPr>
          <w:rFonts w:ascii="Times New Roman" w:hAnsi="Times New Roman" w:cs="Times New Roman"/>
        </w:rPr>
        <w:t xml:space="preserve"> </w:t>
      </w:r>
      <w:r w:rsidR="003720AC">
        <w:rPr>
          <w:rFonts w:ascii="Times New Roman" w:hAnsi="Times New Roman" w:cs="Times New Roman"/>
        </w:rPr>
        <w:t>essentially a</w:t>
      </w:r>
      <w:r w:rsidR="007D376D">
        <w:rPr>
          <w:rFonts w:ascii="Times New Roman" w:hAnsi="Times New Roman" w:cs="Times New Roman"/>
        </w:rPr>
        <w:t xml:space="preserve"> radial,</w:t>
      </w:r>
      <w:r w:rsidR="00C74544">
        <w:rPr>
          <w:rFonts w:ascii="Times New Roman" w:hAnsi="Times New Roman" w:cs="Times New Roman"/>
        </w:rPr>
        <w:t xml:space="preserve"> input-oriented</w:t>
      </w:r>
      <w:r w:rsidR="003720AC">
        <w:rPr>
          <w:rFonts w:ascii="Times New Roman" w:hAnsi="Times New Roman" w:cs="Times New Roman"/>
        </w:rPr>
        <w:t xml:space="preserve"> </w:t>
      </w:r>
      <w:r w:rsidR="00DE2B03">
        <w:rPr>
          <w:rFonts w:ascii="Times New Roman" w:hAnsi="Times New Roman" w:cs="Times New Roman"/>
        </w:rPr>
        <w:t xml:space="preserve">DEA model </w:t>
      </w:r>
      <w:r w:rsidR="007D376D">
        <w:rPr>
          <w:rFonts w:ascii="Times New Roman" w:hAnsi="Times New Roman" w:cs="Times New Roman"/>
        </w:rPr>
        <w:t xml:space="preserve">with a single-constant input </w:t>
      </w:r>
      <w:r w:rsidR="00DE2B03">
        <w:rPr>
          <w:rFonts w:ascii="Times New Roman" w:hAnsi="Times New Roman" w:cs="Times New Roman"/>
        </w:rPr>
        <w:t>(</w:t>
      </w:r>
      <w:r w:rsidR="00226F96">
        <w:rPr>
          <w:rFonts w:ascii="Times New Roman" w:hAnsi="Times New Roman" w:cs="Times New Roman"/>
        </w:rPr>
        <w:t xml:space="preserve">see Cook and Kress, 1990; </w:t>
      </w:r>
      <w:proofErr w:type="spellStart"/>
      <w:r w:rsidR="00D66228">
        <w:rPr>
          <w:rFonts w:ascii="Times New Roman" w:hAnsi="Times New Roman" w:cs="Times New Roman"/>
        </w:rPr>
        <w:t>Caporaletti</w:t>
      </w:r>
      <w:proofErr w:type="spellEnd"/>
      <w:r w:rsidR="00D66228">
        <w:rPr>
          <w:rFonts w:ascii="Times New Roman" w:hAnsi="Times New Roman" w:cs="Times New Roman"/>
        </w:rPr>
        <w:t xml:space="preserve">, </w:t>
      </w:r>
      <w:proofErr w:type="spellStart"/>
      <w:r w:rsidR="00D66228">
        <w:rPr>
          <w:rFonts w:ascii="Times New Roman" w:hAnsi="Times New Roman" w:cs="Times New Roman"/>
        </w:rPr>
        <w:t>Dula</w:t>
      </w:r>
      <w:proofErr w:type="spellEnd"/>
      <w:r w:rsidR="00D66228">
        <w:rPr>
          <w:rFonts w:ascii="Times New Roman" w:hAnsi="Times New Roman" w:cs="Times New Roman"/>
        </w:rPr>
        <w:t xml:space="preserve"> and </w:t>
      </w:r>
      <w:proofErr w:type="spellStart"/>
      <w:r w:rsidR="00D66228">
        <w:rPr>
          <w:rFonts w:ascii="Times New Roman" w:hAnsi="Times New Roman" w:cs="Times New Roman"/>
        </w:rPr>
        <w:t>Womer</w:t>
      </w:r>
      <w:proofErr w:type="spellEnd"/>
      <w:r w:rsidR="00D66228">
        <w:rPr>
          <w:rFonts w:ascii="Times New Roman" w:hAnsi="Times New Roman" w:cs="Times New Roman"/>
        </w:rPr>
        <w:t>, 1999</w:t>
      </w:r>
      <w:r w:rsidR="00226F96">
        <w:rPr>
          <w:rFonts w:ascii="Times New Roman" w:hAnsi="Times New Roman" w:cs="Times New Roman"/>
        </w:rPr>
        <w:t xml:space="preserve">; </w:t>
      </w:r>
      <w:proofErr w:type="spellStart"/>
      <w:r w:rsidR="00226F96">
        <w:rPr>
          <w:rFonts w:ascii="Times New Roman" w:hAnsi="Times New Roman" w:cs="Times New Roman"/>
        </w:rPr>
        <w:t>Despotis</w:t>
      </w:r>
      <w:proofErr w:type="spellEnd"/>
      <w:r w:rsidR="00226F96">
        <w:rPr>
          <w:rFonts w:ascii="Times New Roman" w:hAnsi="Times New Roman" w:cs="Times New Roman"/>
        </w:rPr>
        <w:t>, 2005</w:t>
      </w:r>
      <w:r w:rsidR="00594B5D">
        <w:rPr>
          <w:rFonts w:ascii="Times New Roman" w:hAnsi="Times New Roman" w:cs="Times New Roman"/>
        </w:rPr>
        <w:t>).  The latter implies</w:t>
      </w:r>
      <w:r w:rsidR="00DE2B03">
        <w:rPr>
          <w:rFonts w:ascii="Times New Roman" w:hAnsi="Times New Roman" w:cs="Times New Roman"/>
        </w:rPr>
        <w:t xml:space="preserve"> that price independent weights can be used to aggregate the </w:t>
      </w:r>
      <w:r w:rsidR="003720AC">
        <w:rPr>
          <w:rFonts w:ascii="Times New Roman" w:hAnsi="Times New Roman" w:cs="Times New Roman"/>
        </w:rPr>
        <w:t xml:space="preserve">resulting </w:t>
      </w:r>
      <w:r w:rsidR="005A7373">
        <w:rPr>
          <w:rFonts w:ascii="Times New Roman" w:hAnsi="Times New Roman" w:cs="Times New Roman"/>
        </w:rPr>
        <w:t>input-</w:t>
      </w:r>
      <w:r w:rsidR="00DE2B03">
        <w:rPr>
          <w:rFonts w:ascii="Times New Roman" w:hAnsi="Times New Roman" w:cs="Times New Roman"/>
        </w:rPr>
        <w:t>oriented efficiency scores</w:t>
      </w:r>
      <w:r w:rsidR="003720AC">
        <w:rPr>
          <w:rFonts w:ascii="Times New Roman" w:hAnsi="Times New Roman" w:cs="Times New Roman"/>
        </w:rPr>
        <w:t>, wh</w:t>
      </w:r>
      <w:r w:rsidR="00594B5D">
        <w:rPr>
          <w:rFonts w:ascii="Times New Roman" w:hAnsi="Times New Roman" w:cs="Times New Roman"/>
        </w:rPr>
        <w:t xml:space="preserve">ich in the </w:t>
      </w:r>
      <w:proofErr w:type="spellStart"/>
      <w:r w:rsidR="00594B5D">
        <w:rPr>
          <w:rFonts w:ascii="Times New Roman" w:hAnsi="Times New Roman" w:cs="Times New Roman"/>
        </w:rPr>
        <w:t>BoD</w:t>
      </w:r>
      <w:proofErr w:type="spellEnd"/>
      <w:r w:rsidR="00594B5D">
        <w:rPr>
          <w:rFonts w:ascii="Times New Roman" w:hAnsi="Times New Roman" w:cs="Times New Roman"/>
        </w:rPr>
        <w:t xml:space="preserve"> model correspond</w:t>
      </w:r>
      <w:r w:rsidR="003720AC">
        <w:rPr>
          <w:rFonts w:ascii="Times New Roman" w:hAnsi="Times New Roman" w:cs="Times New Roman"/>
        </w:rPr>
        <w:t xml:space="preserve"> to the </w:t>
      </w:r>
      <w:r w:rsidR="00594B5D">
        <w:rPr>
          <w:rFonts w:ascii="Times New Roman" w:hAnsi="Times New Roman" w:cs="Times New Roman"/>
        </w:rPr>
        <w:t xml:space="preserve">values of the </w:t>
      </w:r>
      <w:r w:rsidR="003720AC">
        <w:rPr>
          <w:rFonts w:ascii="Times New Roman" w:hAnsi="Times New Roman" w:cs="Times New Roman"/>
        </w:rPr>
        <w:t>composite indicator,</w:t>
      </w:r>
      <w:r w:rsidR="00DE2B03">
        <w:rPr>
          <w:rFonts w:ascii="Times New Roman" w:hAnsi="Times New Roman" w:cs="Times New Roman"/>
        </w:rPr>
        <w:t xml:space="preserve"> and since </w:t>
      </w:r>
      <w:r w:rsidR="00594B5D">
        <w:rPr>
          <w:rFonts w:ascii="Times New Roman" w:hAnsi="Times New Roman" w:cs="Times New Roman"/>
        </w:rPr>
        <w:t>it is assumed that all the evaluated units</w:t>
      </w:r>
      <w:r w:rsidR="00DE2B03">
        <w:rPr>
          <w:rFonts w:ascii="Times New Roman" w:hAnsi="Times New Roman" w:cs="Times New Roman"/>
        </w:rPr>
        <w:t xml:space="preserve"> have the same amount of the single input, namely one unit, the </w:t>
      </w:r>
      <w:r w:rsidR="007D376D">
        <w:rPr>
          <w:rFonts w:ascii="Times New Roman" w:hAnsi="Times New Roman" w:cs="Times New Roman"/>
        </w:rPr>
        <w:t xml:space="preserve">aggregation </w:t>
      </w:r>
      <w:r w:rsidR="00DE2B03">
        <w:rPr>
          <w:rFonts w:ascii="Times New Roman" w:hAnsi="Times New Roman" w:cs="Times New Roman"/>
        </w:rPr>
        <w:t xml:space="preserve">weights are equal to the inverse of the </w:t>
      </w:r>
      <w:r w:rsidR="003720AC">
        <w:rPr>
          <w:rFonts w:ascii="Times New Roman" w:hAnsi="Times New Roman" w:cs="Times New Roman"/>
        </w:rPr>
        <w:t xml:space="preserve">total </w:t>
      </w:r>
      <w:r w:rsidR="00BA5E88">
        <w:rPr>
          <w:rFonts w:ascii="Times New Roman" w:hAnsi="Times New Roman" w:cs="Times New Roman"/>
        </w:rPr>
        <w:t>numb</w:t>
      </w:r>
      <w:r w:rsidR="00594B5D">
        <w:rPr>
          <w:rFonts w:ascii="Times New Roman" w:hAnsi="Times New Roman" w:cs="Times New Roman"/>
        </w:rPr>
        <w:t>er of the evaluated units</w:t>
      </w:r>
      <w:r w:rsidR="00DE2B03">
        <w:rPr>
          <w:rFonts w:ascii="Times New Roman" w:hAnsi="Times New Roman" w:cs="Times New Roman"/>
        </w:rPr>
        <w:t>.</w:t>
      </w:r>
      <w:r w:rsidR="003720AC">
        <w:rPr>
          <w:rFonts w:ascii="Times New Roman" w:hAnsi="Times New Roman" w:cs="Times New Roman"/>
        </w:rPr>
        <w:t xml:space="preserve">  </w:t>
      </w:r>
    </w:p>
    <w:p w14:paraId="3CAA676C" w14:textId="0963D2AB" w:rsidR="00226F96" w:rsidRDefault="00226F96" w:rsidP="00DE2B03">
      <w:pPr>
        <w:spacing w:line="360" w:lineRule="auto"/>
        <w:jc w:val="both"/>
        <w:rPr>
          <w:rFonts w:ascii="Times New Roman" w:hAnsi="Times New Roman" w:cs="Times New Roman"/>
        </w:rPr>
      </w:pPr>
      <w:r>
        <w:rPr>
          <w:rFonts w:ascii="Times New Roman" w:hAnsi="Times New Roman" w:cs="Times New Roman"/>
        </w:rPr>
        <w:tab/>
        <w:t>The rest of this paper proceeds as follows: our main t</w:t>
      </w:r>
      <w:r w:rsidR="00402FF9">
        <w:rPr>
          <w:rFonts w:ascii="Times New Roman" w:hAnsi="Times New Roman" w:cs="Times New Roman"/>
        </w:rPr>
        <w:t>heoretical results are presented</w:t>
      </w:r>
      <w:r>
        <w:rPr>
          <w:rFonts w:ascii="Times New Roman" w:hAnsi="Times New Roman" w:cs="Times New Roman"/>
        </w:rPr>
        <w:t xml:space="preserve"> in the next section.  </w:t>
      </w:r>
      <w:r w:rsidR="007D376D">
        <w:rPr>
          <w:rFonts w:ascii="Times New Roman" w:hAnsi="Times New Roman" w:cs="Times New Roman"/>
        </w:rPr>
        <w:t>In</w:t>
      </w:r>
      <w:r w:rsidR="00402FF9">
        <w:rPr>
          <w:rFonts w:ascii="Times New Roman" w:hAnsi="Times New Roman" w:cs="Times New Roman"/>
        </w:rPr>
        <w:t xml:space="preserve"> the third section we illustrate </w:t>
      </w:r>
      <w:r w:rsidR="007D376D">
        <w:rPr>
          <w:rFonts w:ascii="Times New Roman" w:hAnsi="Times New Roman" w:cs="Times New Roman"/>
        </w:rPr>
        <w:t xml:space="preserve">in a case study </w:t>
      </w:r>
      <w:r w:rsidR="00402FF9">
        <w:rPr>
          <w:rFonts w:ascii="Times New Roman" w:hAnsi="Times New Roman" w:cs="Times New Roman"/>
        </w:rPr>
        <w:t xml:space="preserve">how our theoretical results can be used to obtain </w:t>
      </w:r>
      <w:r w:rsidR="007D376D">
        <w:rPr>
          <w:rFonts w:ascii="Times New Roman" w:hAnsi="Times New Roman" w:cs="Times New Roman"/>
        </w:rPr>
        <w:t xml:space="preserve">a </w:t>
      </w:r>
      <w:r w:rsidR="00402FF9">
        <w:rPr>
          <w:rFonts w:ascii="Times New Roman" w:hAnsi="Times New Roman" w:cs="Times New Roman"/>
        </w:rPr>
        <w:t xml:space="preserve">composite research productivity indicator at the department level based on the individual achievements of its faculty members.  </w:t>
      </w:r>
      <w:r>
        <w:rPr>
          <w:rFonts w:ascii="Times New Roman" w:hAnsi="Times New Roman" w:cs="Times New Roman"/>
        </w:rPr>
        <w:t xml:space="preserve">  Concluding remarks follow in the last section.</w:t>
      </w:r>
    </w:p>
    <w:p w14:paraId="22C680E6" w14:textId="77777777" w:rsidR="00596B32" w:rsidRDefault="00596B32" w:rsidP="00A81C50">
      <w:pPr>
        <w:jc w:val="both"/>
        <w:rPr>
          <w:rFonts w:ascii="Times New Roman" w:hAnsi="Times New Roman" w:cs="Times New Roman"/>
        </w:rPr>
      </w:pPr>
    </w:p>
    <w:p w14:paraId="344BC029" w14:textId="611E9ED7" w:rsidR="00596B32" w:rsidRPr="00113624" w:rsidRDefault="00596B32" w:rsidP="00A81C50">
      <w:pPr>
        <w:jc w:val="both"/>
        <w:rPr>
          <w:rFonts w:ascii="Times New Roman" w:hAnsi="Times New Roman" w:cs="Times New Roman"/>
          <w:b/>
        </w:rPr>
      </w:pPr>
      <w:r w:rsidRPr="00113624">
        <w:rPr>
          <w:rFonts w:ascii="Times New Roman" w:hAnsi="Times New Roman" w:cs="Times New Roman"/>
          <w:b/>
        </w:rPr>
        <w:t>2. The Main Results</w:t>
      </w:r>
    </w:p>
    <w:p w14:paraId="4A82D459" w14:textId="5DE41521" w:rsidR="00603E83" w:rsidRDefault="00603E83" w:rsidP="00A81C50">
      <w:pPr>
        <w:jc w:val="both"/>
        <w:rPr>
          <w:rFonts w:ascii="Times New Roman" w:hAnsi="Times New Roman" w:cs="Times New Roman"/>
        </w:rPr>
      </w:pPr>
    </w:p>
    <w:p w14:paraId="74EF7093" w14:textId="1CD8AB88" w:rsidR="004316FB" w:rsidRDefault="00A81C50" w:rsidP="00A81C50">
      <w:pPr>
        <w:spacing w:line="360" w:lineRule="auto"/>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BoD</w:t>
      </w:r>
      <w:proofErr w:type="spellEnd"/>
      <w:r>
        <w:rPr>
          <w:rFonts w:ascii="Times New Roman" w:hAnsi="Times New Roman" w:cs="Times New Roman"/>
        </w:rPr>
        <w:t xml:space="preserve"> is a model </w:t>
      </w:r>
      <w:r w:rsidR="007B40E5">
        <w:rPr>
          <w:rFonts w:ascii="Times New Roman" w:hAnsi="Times New Roman" w:cs="Times New Roman"/>
        </w:rPr>
        <w:t>facilitating the (linear) aggregation of</w:t>
      </w:r>
      <w:r>
        <w:rPr>
          <w:rFonts w:ascii="Times New Roman" w:hAnsi="Times New Roman" w:cs="Times New Roman"/>
        </w:rPr>
        <w:t xml:space="preserve"> a number of quan</w:t>
      </w:r>
      <w:r w:rsidR="007D376D">
        <w:rPr>
          <w:rFonts w:ascii="Times New Roman" w:hAnsi="Times New Roman" w:cs="Times New Roman"/>
        </w:rPr>
        <w:t>titative sub-indicators into a</w:t>
      </w:r>
      <w:r w:rsidR="00474966">
        <w:rPr>
          <w:rFonts w:ascii="Times New Roman" w:hAnsi="Times New Roman" w:cs="Times New Roman"/>
        </w:rPr>
        <w:t xml:space="preserve"> single comp</w:t>
      </w:r>
      <w:r w:rsidR="007D376D">
        <w:rPr>
          <w:rFonts w:ascii="Times New Roman" w:hAnsi="Times New Roman" w:cs="Times New Roman"/>
        </w:rPr>
        <w:t>osite indicator when</w:t>
      </w:r>
      <w:r>
        <w:rPr>
          <w:rFonts w:ascii="Times New Roman" w:hAnsi="Times New Roman" w:cs="Times New Roman"/>
        </w:rPr>
        <w:t xml:space="preserve"> exact knowledge of </w:t>
      </w:r>
      <w:r w:rsidR="00402FF9">
        <w:rPr>
          <w:rFonts w:ascii="Times New Roman" w:hAnsi="Times New Roman" w:cs="Times New Roman"/>
        </w:rPr>
        <w:t xml:space="preserve">the </w:t>
      </w:r>
      <w:r>
        <w:rPr>
          <w:rFonts w:ascii="Times New Roman" w:hAnsi="Times New Roman" w:cs="Times New Roman"/>
        </w:rPr>
        <w:t xml:space="preserve">weights is not available.  </w:t>
      </w:r>
      <w:r w:rsidR="00252361">
        <w:rPr>
          <w:rFonts w:ascii="Times New Roman" w:hAnsi="Times New Roman" w:cs="Times New Roman"/>
        </w:rPr>
        <w:t>In estimating these wei</w:t>
      </w:r>
      <w:r w:rsidR="00BA5E88">
        <w:rPr>
          <w:rFonts w:ascii="Times New Roman" w:hAnsi="Times New Roman" w:cs="Times New Roman"/>
        </w:rPr>
        <w:t xml:space="preserve">ghts, the </w:t>
      </w:r>
      <w:proofErr w:type="spellStart"/>
      <w:r w:rsidR="00BA5E88">
        <w:rPr>
          <w:rFonts w:ascii="Times New Roman" w:hAnsi="Times New Roman" w:cs="Times New Roman"/>
        </w:rPr>
        <w:t>BoD</w:t>
      </w:r>
      <w:proofErr w:type="spellEnd"/>
      <w:r w:rsidR="00BA5E88">
        <w:rPr>
          <w:rFonts w:ascii="Times New Roman" w:hAnsi="Times New Roman" w:cs="Times New Roman"/>
        </w:rPr>
        <w:t xml:space="preserve"> model assumes that each </w:t>
      </w:r>
      <w:r w:rsidR="00402FF9">
        <w:rPr>
          <w:rFonts w:ascii="Times New Roman" w:hAnsi="Times New Roman" w:cs="Times New Roman"/>
        </w:rPr>
        <w:t>decision-making unit (</w:t>
      </w:r>
      <w:r w:rsidR="00BA5E88">
        <w:rPr>
          <w:rFonts w:ascii="Times New Roman" w:hAnsi="Times New Roman" w:cs="Times New Roman"/>
        </w:rPr>
        <w:t>DMU</w:t>
      </w:r>
      <w:r w:rsidR="00402FF9">
        <w:rPr>
          <w:rFonts w:ascii="Times New Roman" w:hAnsi="Times New Roman" w:cs="Times New Roman"/>
        </w:rPr>
        <w:t>)</w:t>
      </w:r>
      <w:r>
        <w:rPr>
          <w:rFonts w:ascii="Times New Roman" w:hAnsi="Times New Roman" w:cs="Times New Roman"/>
        </w:rPr>
        <w:t xml:space="preserve"> attach</w:t>
      </w:r>
      <w:r w:rsidR="00BA5E88">
        <w:rPr>
          <w:rFonts w:ascii="Times New Roman" w:hAnsi="Times New Roman" w:cs="Times New Roman"/>
        </w:rPr>
        <w:t>es</w:t>
      </w:r>
      <w:r>
        <w:rPr>
          <w:rFonts w:ascii="Times New Roman" w:hAnsi="Times New Roman" w:cs="Times New Roman"/>
        </w:rPr>
        <w:t xml:space="preserve"> less (mor</w:t>
      </w:r>
      <w:r w:rsidR="007B40E5">
        <w:rPr>
          <w:rFonts w:ascii="Times New Roman" w:hAnsi="Times New Roman" w:cs="Times New Roman"/>
        </w:rPr>
        <w:t>e) importance to those aspects or dimensions</w:t>
      </w:r>
      <w:r>
        <w:rPr>
          <w:rFonts w:ascii="Times New Roman" w:hAnsi="Times New Roman" w:cs="Times New Roman"/>
        </w:rPr>
        <w:t xml:space="preserve"> of performance, </w:t>
      </w:r>
      <w:r w:rsidR="007B40E5">
        <w:rPr>
          <w:rFonts w:ascii="Times New Roman" w:hAnsi="Times New Roman" w:cs="Times New Roman"/>
        </w:rPr>
        <w:t>reflected in the different</w:t>
      </w:r>
      <w:r>
        <w:rPr>
          <w:rFonts w:ascii="Times New Roman" w:hAnsi="Times New Roman" w:cs="Times New Roman"/>
        </w:rPr>
        <w:t xml:space="preserve"> sub-indicators, on which it is demonstrably a weak (strong) performer relati</w:t>
      </w:r>
      <w:r w:rsidR="004316FB">
        <w:rPr>
          <w:rFonts w:ascii="Times New Roman" w:hAnsi="Times New Roman" w:cs="Times New Roman"/>
        </w:rPr>
        <w:t xml:space="preserve">ve to the other </w:t>
      </w:r>
      <w:r w:rsidR="00402FF9">
        <w:rPr>
          <w:rFonts w:ascii="Times New Roman" w:hAnsi="Times New Roman" w:cs="Times New Roman"/>
        </w:rPr>
        <w:t>evaluated units</w:t>
      </w:r>
      <w:r>
        <w:rPr>
          <w:rFonts w:ascii="Times New Roman" w:hAnsi="Times New Roman" w:cs="Times New Roman"/>
        </w:rPr>
        <w:t>.</w:t>
      </w:r>
      <w:r w:rsidR="00402FF9">
        <w:rPr>
          <w:rFonts w:ascii="Times New Roman" w:hAnsi="Times New Roman" w:cs="Times New Roman"/>
        </w:rPr>
        <w:t xml:space="preserve">  This in turn</w:t>
      </w:r>
      <w:r w:rsidR="007B40E5">
        <w:rPr>
          <w:rFonts w:ascii="Times New Roman" w:hAnsi="Times New Roman" w:cs="Times New Roman"/>
        </w:rPr>
        <w:t xml:space="preserve"> </w:t>
      </w:r>
      <w:r w:rsidR="00F03325">
        <w:rPr>
          <w:rFonts w:ascii="Times New Roman" w:hAnsi="Times New Roman" w:cs="Times New Roman"/>
        </w:rPr>
        <w:t xml:space="preserve">allows the </w:t>
      </w:r>
      <w:r w:rsidR="00BA5E88">
        <w:rPr>
          <w:rFonts w:ascii="Times New Roman" w:hAnsi="Times New Roman" w:cs="Times New Roman"/>
        </w:rPr>
        <w:t xml:space="preserve">estimated weights </w:t>
      </w:r>
      <w:r w:rsidR="00F03325">
        <w:rPr>
          <w:rFonts w:ascii="Times New Roman" w:hAnsi="Times New Roman" w:cs="Times New Roman"/>
        </w:rPr>
        <w:t xml:space="preserve">to vary across </w:t>
      </w:r>
      <w:r w:rsidR="00BA5E88">
        <w:rPr>
          <w:rFonts w:ascii="Times New Roman" w:hAnsi="Times New Roman" w:cs="Times New Roman"/>
        </w:rPr>
        <w:t>DMUs</w:t>
      </w:r>
      <w:r w:rsidR="00402FF9">
        <w:rPr>
          <w:rFonts w:ascii="Times New Roman" w:hAnsi="Times New Roman" w:cs="Times New Roman"/>
        </w:rPr>
        <w:t>,</w:t>
      </w:r>
      <w:r w:rsidR="00F1275E">
        <w:rPr>
          <w:rFonts w:ascii="Times New Roman" w:hAnsi="Times New Roman" w:cs="Times New Roman"/>
        </w:rPr>
        <w:t xml:space="preserve"> sub-indicator</w:t>
      </w:r>
      <w:r w:rsidR="00BA5E88">
        <w:rPr>
          <w:rFonts w:ascii="Times New Roman" w:hAnsi="Times New Roman" w:cs="Times New Roman"/>
        </w:rPr>
        <w:t>s</w:t>
      </w:r>
      <w:r w:rsidR="00402FF9">
        <w:rPr>
          <w:rFonts w:ascii="Times New Roman" w:hAnsi="Times New Roman" w:cs="Times New Roman"/>
        </w:rPr>
        <w:t xml:space="preserve"> and</w:t>
      </w:r>
      <w:r w:rsidR="00F03325">
        <w:rPr>
          <w:rFonts w:ascii="Times New Roman" w:hAnsi="Times New Roman" w:cs="Times New Roman"/>
        </w:rPr>
        <w:t xml:space="preserve"> time</w:t>
      </w:r>
      <w:r w:rsidR="00F1275E">
        <w:rPr>
          <w:rFonts w:ascii="Times New Roman" w:hAnsi="Times New Roman" w:cs="Times New Roman"/>
        </w:rPr>
        <w:t xml:space="preserve">.  </w:t>
      </w:r>
      <w:r w:rsidR="0006759E">
        <w:rPr>
          <w:rFonts w:ascii="Times New Roman" w:hAnsi="Times New Roman" w:cs="Times New Roman"/>
        </w:rPr>
        <w:t>Moreover</w:t>
      </w:r>
      <w:r w:rsidR="00402FF9">
        <w:rPr>
          <w:rFonts w:ascii="Times New Roman" w:hAnsi="Times New Roman" w:cs="Times New Roman"/>
        </w:rPr>
        <w:t>, a</w:t>
      </w:r>
      <w:r w:rsidR="00627C46">
        <w:rPr>
          <w:rFonts w:ascii="Times New Roman" w:hAnsi="Times New Roman" w:cs="Times New Roman"/>
        </w:rPr>
        <w:t>ssessment</w:t>
      </w:r>
      <w:r w:rsidR="00252361">
        <w:rPr>
          <w:rFonts w:ascii="Times New Roman" w:hAnsi="Times New Roman" w:cs="Times New Roman"/>
        </w:rPr>
        <w:t xml:space="preserve"> is based</w:t>
      </w:r>
      <w:r w:rsidR="00402FF9">
        <w:rPr>
          <w:rFonts w:ascii="Times New Roman" w:hAnsi="Times New Roman" w:cs="Times New Roman"/>
        </w:rPr>
        <w:t xml:space="preserve"> on best practice (i.e., the observed </w:t>
      </w:r>
      <w:r w:rsidR="00474966">
        <w:rPr>
          <w:rFonts w:ascii="Times New Roman" w:hAnsi="Times New Roman" w:cs="Times New Roman"/>
        </w:rPr>
        <w:t>DMUs’ data</w:t>
      </w:r>
      <w:r w:rsidR="00402FF9">
        <w:rPr>
          <w:rFonts w:ascii="Times New Roman" w:hAnsi="Times New Roman" w:cs="Times New Roman"/>
        </w:rPr>
        <w:t>)</w:t>
      </w:r>
      <w:r w:rsidR="00252361">
        <w:rPr>
          <w:rFonts w:ascii="Times New Roman" w:hAnsi="Times New Roman" w:cs="Times New Roman"/>
        </w:rPr>
        <w:t xml:space="preserve"> rathe</w:t>
      </w:r>
      <w:r w:rsidR="00BA5E88">
        <w:rPr>
          <w:rFonts w:ascii="Times New Roman" w:hAnsi="Times New Roman" w:cs="Times New Roman"/>
        </w:rPr>
        <w:t>r</w:t>
      </w:r>
      <w:r w:rsidR="00F03325">
        <w:rPr>
          <w:rFonts w:ascii="Times New Roman" w:hAnsi="Times New Roman" w:cs="Times New Roman"/>
        </w:rPr>
        <w:t xml:space="preserve"> than on external references and</w:t>
      </w:r>
      <w:r w:rsidR="00474966">
        <w:rPr>
          <w:rFonts w:ascii="Times New Roman" w:hAnsi="Times New Roman" w:cs="Times New Roman"/>
        </w:rPr>
        <w:t xml:space="preserve"> each evaluated unit’s</w:t>
      </w:r>
      <w:r w:rsidR="00252361">
        <w:rPr>
          <w:rFonts w:ascii="Times New Roman" w:hAnsi="Times New Roman" w:cs="Times New Roman"/>
        </w:rPr>
        <w:t xml:space="preserve"> benchmark</w:t>
      </w:r>
      <w:r w:rsidR="00F03325">
        <w:rPr>
          <w:rFonts w:ascii="Times New Roman" w:hAnsi="Times New Roman" w:cs="Times New Roman"/>
        </w:rPr>
        <w:t xml:space="preserve"> is endogenously determined, implying that</w:t>
      </w:r>
      <w:r w:rsidR="00BA5E88">
        <w:rPr>
          <w:rFonts w:ascii="Times New Roman" w:hAnsi="Times New Roman" w:cs="Times New Roman"/>
        </w:rPr>
        <w:t xml:space="preserve"> </w:t>
      </w:r>
      <w:r w:rsidR="00252361">
        <w:rPr>
          <w:rFonts w:ascii="Times New Roman" w:hAnsi="Times New Roman" w:cs="Times New Roman"/>
        </w:rPr>
        <w:t xml:space="preserve">in general will differ </w:t>
      </w:r>
      <w:r w:rsidR="00474966">
        <w:rPr>
          <w:rFonts w:ascii="Times New Roman" w:hAnsi="Times New Roman" w:cs="Times New Roman"/>
        </w:rPr>
        <w:t>across DMUs</w:t>
      </w:r>
      <w:r w:rsidR="00252361">
        <w:rPr>
          <w:rFonts w:ascii="Times New Roman" w:hAnsi="Times New Roman" w:cs="Times New Roman"/>
        </w:rPr>
        <w:t>.</w:t>
      </w:r>
    </w:p>
    <w:p w14:paraId="4DB764B9" w14:textId="61E25075" w:rsidR="00B74E0A" w:rsidRDefault="003213E7" w:rsidP="00A81C50">
      <w:pPr>
        <w:spacing w:line="360" w:lineRule="auto"/>
        <w:jc w:val="both"/>
        <w:rPr>
          <w:rFonts w:ascii="Times New Roman" w:hAnsi="Times New Roman" w:cs="Times New Roman"/>
        </w:rPr>
      </w:pPr>
      <w:r>
        <w:rPr>
          <w:rFonts w:ascii="Times New Roman" w:hAnsi="Times New Roman" w:cs="Times New Roman"/>
        </w:rPr>
        <w:tab/>
      </w:r>
      <w:r w:rsidR="0006759E">
        <w:rPr>
          <w:rFonts w:ascii="Times New Roman" w:hAnsi="Times New Roman" w:cs="Times New Roman"/>
        </w:rPr>
        <w:t xml:space="preserve">In the </w:t>
      </w:r>
      <w:proofErr w:type="spellStart"/>
      <w:r w:rsidR="0006759E">
        <w:rPr>
          <w:rFonts w:ascii="Times New Roman" w:hAnsi="Times New Roman" w:cs="Times New Roman"/>
        </w:rPr>
        <w:t>BoD</w:t>
      </w:r>
      <w:proofErr w:type="spellEnd"/>
      <w:r w:rsidR="0006759E">
        <w:rPr>
          <w:rFonts w:ascii="Times New Roman" w:hAnsi="Times New Roman" w:cs="Times New Roman"/>
        </w:rPr>
        <w:t xml:space="preserve"> model, t</w:t>
      </w:r>
      <w:r w:rsidR="00474966">
        <w:rPr>
          <w:rFonts w:ascii="Times New Roman" w:hAnsi="Times New Roman" w:cs="Times New Roman"/>
        </w:rPr>
        <w:t>he estimated value of each DMU’s</w:t>
      </w:r>
      <w:r w:rsidR="004316FB">
        <w:rPr>
          <w:rFonts w:ascii="Times New Roman" w:hAnsi="Times New Roman" w:cs="Times New Roman"/>
        </w:rPr>
        <w:t xml:space="preserve"> </w:t>
      </w:r>
      <w:r w:rsidR="00474966">
        <w:rPr>
          <w:rFonts w:ascii="Times New Roman" w:hAnsi="Times New Roman" w:cs="Times New Roman"/>
        </w:rPr>
        <w:t>composite indicator is equal to</w:t>
      </w:r>
      <w:r w:rsidR="004316FB">
        <w:rPr>
          <w:rFonts w:ascii="Times New Roman" w:hAnsi="Times New Roman" w:cs="Times New Roman"/>
        </w:rPr>
        <w:t xml:space="preserve"> the ratio of </w:t>
      </w:r>
      <w:r w:rsidR="0006759E">
        <w:rPr>
          <w:rFonts w:ascii="Times New Roman" w:hAnsi="Times New Roman" w:cs="Times New Roman"/>
        </w:rPr>
        <w:t>two metrics, reflecting respectively actual and benchmark overall performance</w:t>
      </w:r>
      <w:r w:rsidR="00BA5E88">
        <w:rPr>
          <w:rFonts w:ascii="Times New Roman" w:hAnsi="Times New Roman" w:cs="Times New Roman"/>
        </w:rPr>
        <w:t>,</w:t>
      </w:r>
      <w:r w:rsidR="004316FB">
        <w:rPr>
          <w:rFonts w:ascii="Times New Roman" w:hAnsi="Times New Roman" w:cs="Times New Roman"/>
        </w:rPr>
        <w:t xml:space="preserve"> both of which are </w:t>
      </w:r>
      <w:r w:rsidR="00474966">
        <w:rPr>
          <w:rFonts w:ascii="Times New Roman" w:hAnsi="Times New Roman" w:cs="Times New Roman"/>
        </w:rPr>
        <w:t>given by a (albeit different)</w:t>
      </w:r>
      <w:r w:rsidR="007B40E5">
        <w:rPr>
          <w:rFonts w:ascii="Times New Roman" w:hAnsi="Times New Roman" w:cs="Times New Roman"/>
        </w:rPr>
        <w:t xml:space="preserve"> weighted sum of the </w:t>
      </w:r>
      <w:r w:rsidR="00474966">
        <w:rPr>
          <w:rFonts w:ascii="Times New Roman" w:hAnsi="Times New Roman" w:cs="Times New Roman"/>
        </w:rPr>
        <w:t xml:space="preserve">considered </w:t>
      </w:r>
      <w:r w:rsidR="004316FB">
        <w:rPr>
          <w:rFonts w:ascii="Times New Roman" w:hAnsi="Times New Roman" w:cs="Times New Roman"/>
        </w:rPr>
        <w:t>sub-indicators.  Since the</w:t>
      </w:r>
      <w:r>
        <w:rPr>
          <w:rFonts w:ascii="Times New Roman" w:hAnsi="Times New Roman" w:cs="Times New Roman"/>
        </w:rPr>
        <w:t xml:space="preserve"> composite indicator is designed to take values </w:t>
      </w:r>
      <w:r w:rsidR="004316FB">
        <w:rPr>
          <w:rFonts w:ascii="Times New Roman" w:hAnsi="Times New Roman" w:cs="Times New Roman"/>
        </w:rPr>
        <w:t xml:space="preserve">in </w:t>
      </w:r>
      <w:r w:rsidR="007B40E5">
        <w:rPr>
          <w:rFonts w:ascii="Times New Roman" w:hAnsi="Times New Roman" w:cs="Times New Roman"/>
        </w:rPr>
        <w:t xml:space="preserve">the </w:t>
      </w:r>
      <w:r w:rsidR="004316FB">
        <w:rPr>
          <w:rFonts w:ascii="Times New Roman" w:hAnsi="Times New Roman" w:cs="Times New Roman"/>
        </w:rPr>
        <w:t>[0,1]</w:t>
      </w:r>
      <w:r w:rsidR="007B40E5">
        <w:rPr>
          <w:rFonts w:ascii="Times New Roman" w:hAnsi="Times New Roman" w:cs="Times New Roman"/>
        </w:rPr>
        <w:t xml:space="preserve"> interval</w:t>
      </w:r>
      <w:r w:rsidR="004316FB">
        <w:rPr>
          <w:rFonts w:ascii="Times New Roman" w:hAnsi="Times New Roman" w:cs="Times New Roman"/>
        </w:rPr>
        <w:t>, benchmark overall performance attains by construction the maximum value</w:t>
      </w:r>
      <w:r w:rsidR="00C642D7">
        <w:rPr>
          <w:rFonts w:ascii="Times New Roman" w:hAnsi="Times New Roman" w:cs="Times New Roman"/>
        </w:rPr>
        <w:t xml:space="preserve"> of one</w:t>
      </w:r>
      <w:r w:rsidR="00BC7BE7">
        <w:rPr>
          <w:rFonts w:ascii="Times New Roman" w:hAnsi="Times New Roman" w:cs="Times New Roman"/>
        </w:rPr>
        <w:t xml:space="preserve"> (</w:t>
      </w:r>
      <w:proofErr w:type="spellStart"/>
      <w:r w:rsidR="00C642D7">
        <w:rPr>
          <w:rFonts w:ascii="Times New Roman" w:hAnsi="Times New Roman" w:cs="Times New Roman"/>
        </w:rPr>
        <w:t>Cherchye</w:t>
      </w:r>
      <w:proofErr w:type="spellEnd"/>
      <w:r w:rsidR="00C642D7">
        <w:rPr>
          <w:rFonts w:ascii="Times New Roman" w:hAnsi="Times New Roman" w:cs="Times New Roman"/>
        </w:rPr>
        <w:t xml:space="preserve"> </w:t>
      </w:r>
      <w:r w:rsidR="00C642D7" w:rsidRPr="001D767F">
        <w:rPr>
          <w:rFonts w:ascii="Times New Roman" w:hAnsi="Times New Roman" w:cs="Times New Roman"/>
          <w:i/>
        </w:rPr>
        <w:t>et al.</w:t>
      </w:r>
      <w:r w:rsidR="00C642D7">
        <w:rPr>
          <w:rFonts w:ascii="Times New Roman" w:hAnsi="Times New Roman" w:cs="Times New Roman"/>
        </w:rPr>
        <w:t>, 2007)</w:t>
      </w:r>
      <w:r w:rsidR="004F42E1">
        <w:rPr>
          <w:rFonts w:ascii="Times New Roman" w:hAnsi="Times New Roman" w:cs="Times New Roman"/>
        </w:rPr>
        <w:t>.  Thus</w:t>
      </w:r>
      <w:r w:rsidR="004316FB">
        <w:rPr>
          <w:rFonts w:ascii="Times New Roman" w:hAnsi="Times New Roman" w:cs="Times New Roman"/>
        </w:rPr>
        <w:t xml:space="preserve"> the resulting </w:t>
      </w:r>
      <w:r>
        <w:rPr>
          <w:rFonts w:ascii="Times New Roman" w:hAnsi="Times New Roman" w:cs="Times New Roman"/>
        </w:rPr>
        <w:t>composite indicator reflects</w:t>
      </w:r>
      <w:r w:rsidR="00474966">
        <w:rPr>
          <w:rFonts w:ascii="Times New Roman" w:hAnsi="Times New Roman" w:cs="Times New Roman"/>
        </w:rPr>
        <w:t xml:space="preserve"> </w:t>
      </w:r>
      <w:r w:rsidR="00B74E0A">
        <w:rPr>
          <w:rFonts w:ascii="Times New Roman" w:hAnsi="Times New Roman" w:cs="Times New Roman"/>
        </w:rPr>
        <w:t xml:space="preserve">actual overall performance and is a non-decreasing function of sub-indicators implying non-negative weights (non-negativity constraint).  In determining actual overall performance, the weights are selected in such a way </w:t>
      </w:r>
      <w:r w:rsidR="007B40E5">
        <w:rPr>
          <w:rFonts w:ascii="Times New Roman" w:hAnsi="Times New Roman" w:cs="Times New Roman"/>
        </w:rPr>
        <w:t xml:space="preserve">as </w:t>
      </w:r>
      <w:r w:rsidR="00B74E0A">
        <w:rPr>
          <w:rFonts w:ascii="Times New Roman" w:hAnsi="Times New Roman" w:cs="Times New Roman"/>
        </w:rPr>
        <w:t xml:space="preserve">to maximize the value of the </w:t>
      </w:r>
      <w:r w:rsidR="00BA5E88">
        <w:rPr>
          <w:rFonts w:ascii="Times New Roman" w:hAnsi="Times New Roman" w:cs="Times New Roman"/>
        </w:rPr>
        <w:t xml:space="preserve">composite indicator of the </w:t>
      </w:r>
      <w:r w:rsidR="005B30A7">
        <w:rPr>
          <w:rFonts w:ascii="Times New Roman" w:hAnsi="Times New Roman" w:cs="Times New Roman"/>
        </w:rPr>
        <w:t xml:space="preserve">evaluated </w:t>
      </w:r>
      <w:r>
        <w:rPr>
          <w:rFonts w:ascii="Times New Roman" w:hAnsi="Times New Roman" w:cs="Times New Roman"/>
        </w:rPr>
        <w:t>unit</w:t>
      </w:r>
      <w:r w:rsidR="00B74E0A">
        <w:rPr>
          <w:rFonts w:ascii="Times New Roman" w:hAnsi="Times New Roman" w:cs="Times New Roman"/>
        </w:rPr>
        <w:t xml:space="preserve">.  This </w:t>
      </w:r>
      <w:r w:rsidR="005B30A7">
        <w:rPr>
          <w:rFonts w:ascii="Times New Roman" w:hAnsi="Times New Roman" w:cs="Times New Roman"/>
        </w:rPr>
        <w:t>in turn guarantees</w:t>
      </w:r>
      <w:r w:rsidR="004F42E1">
        <w:rPr>
          <w:rFonts w:ascii="Times New Roman" w:hAnsi="Times New Roman" w:cs="Times New Roman"/>
        </w:rPr>
        <w:t xml:space="preserve"> that any other set of weights</w:t>
      </w:r>
      <w:r w:rsidR="00B74E0A">
        <w:rPr>
          <w:rFonts w:ascii="Times New Roman" w:hAnsi="Times New Roman" w:cs="Times New Roman"/>
        </w:rPr>
        <w:t xml:space="preserve"> would worsen the ranking </w:t>
      </w:r>
      <w:r>
        <w:rPr>
          <w:rFonts w:ascii="Times New Roman" w:hAnsi="Times New Roman" w:cs="Times New Roman"/>
        </w:rPr>
        <w:t xml:space="preserve">position </w:t>
      </w:r>
      <w:r w:rsidR="00B74E0A">
        <w:rPr>
          <w:rFonts w:ascii="Times New Roman" w:hAnsi="Times New Roman" w:cs="Times New Roman"/>
        </w:rPr>
        <w:t>of the evaluated</w:t>
      </w:r>
      <w:r w:rsidR="004F42E1">
        <w:rPr>
          <w:rFonts w:ascii="Times New Roman" w:hAnsi="Times New Roman" w:cs="Times New Roman"/>
        </w:rPr>
        <w:t xml:space="preserve"> unit</w:t>
      </w:r>
      <w:r>
        <w:rPr>
          <w:rFonts w:ascii="Times New Roman" w:hAnsi="Times New Roman" w:cs="Times New Roman"/>
        </w:rPr>
        <w:t>.  In addition, if</w:t>
      </w:r>
      <w:r w:rsidR="0006759E">
        <w:rPr>
          <w:rFonts w:ascii="Times New Roman" w:hAnsi="Times New Roman" w:cs="Times New Roman"/>
        </w:rPr>
        <w:t xml:space="preserve"> the derived set of</w:t>
      </w:r>
      <w:r w:rsidR="00B74E0A">
        <w:rPr>
          <w:rFonts w:ascii="Times New Roman" w:hAnsi="Times New Roman" w:cs="Times New Roman"/>
        </w:rPr>
        <w:t xml:space="preserve"> we</w:t>
      </w:r>
      <w:r w:rsidR="0006759E">
        <w:rPr>
          <w:rFonts w:ascii="Times New Roman" w:hAnsi="Times New Roman" w:cs="Times New Roman"/>
        </w:rPr>
        <w:t>ights is</w:t>
      </w:r>
      <w:r>
        <w:rPr>
          <w:rFonts w:ascii="Times New Roman" w:hAnsi="Times New Roman" w:cs="Times New Roman"/>
        </w:rPr>
        <w:t xml:space="preserve"> used by any other evaluated </w:t>
      </w:r>
      <w:r w:rsidR="00A86578">
        <w:rPr>
          <w:rFonts w:ascii="Times New Roman" w:hAnsi="Times New Roman" w:cs="Times New Roman"/>
        </w:rPr>
        <w:t>unit</w:t>
      </w:r>
      <w:r w:rsidR="007B40E5">
        <w:rPr>
          <w:rFonts w:ascii="Times New Roman" w:hAnsi="Times New Roman" w:cs="Times New Roman"/>
        </w:rPr>
        <w:t xml:space="preserve"> </w:t>
      </w:r>
      <w:r w:rsidR="0006759E">
        <w:rPr>
          <w:rFonts w:ascii="Times New Roman" w:hAnsi="Times New Roman" w:cs="Times New Roman"/>
        </w:rPr>
        <w:t>it</w:t>
      </w:r>
      <w:r>
        <w:rPr>
          <w:rFonts w:ascii="Times New Roman" w:hAnsi="Times New Roman" w:cs="Times New Roman"/>
        </w:rPr>
        <w:t xml:space="preserve"> would not result in</w:t>
      </w:r>
      <w:r w:rsidR="00B74E0A">
        <w:rPr>
          <w:rFonts w:ascii="Times New Roman" w:hAnsi="Times New Roman" w:cs="Times New Roman"/>
        </w:rPr>
        <w:t xml:space="preserve"> a </w:t>
      </w:r>
      <w:r>
        <w:rPr>
          <w:rFonts w:ascii="Times New Roman" w:hAnsi="Times New Roman" w:cs="Times New Roman"/>
        </w:rPr>
        <w:t xml:space="preserve">value of the </w:t>
      </w:r>
      <w:r w:rsidR="00B74E0A">
        <w:rPr>
          <w:rFonts w:ascii="Times New Roman" w:hAnsi="Times New Roman" w:cs="Times New Roman"/>
        </w:rPr>
        <w:t xml:space="preserve">composite indicator </w:t>
      </w:r>
      <w:r>
        <w:rPr>
          <w:rFonts w:ascii="Times New Roman" w:hAnsi="Times New Roman" w:cs="Times New Roman"/>
        </w:rPr>
        <w:t xml:space="preserve">that is </w:t>
      </w:r>
      <w:r w:rsidR="00B74E0A">
        <w:rPr>
          <w:rFonts w:ascii="Times New Roman" w:hAnsi="Times New Roman" w:cs="Times New Roman"/>
        </w:rPr>
        <w:t xml:space="preserve">greater than one (normalization constraint).  </w:t>
      </w:r>
    </w:p>
    <w:p w14:paraId="5B4B8EEE" w14:textId="54ED0E9E" w:rsidR="00C33FDD" w:rsidRDefault="00B74E0A" w:rsidP="00B74E0A">
      <w:pPr>
        <w:spacing w:line="360" w:lineRule="auto"/>
        <w:ind w:firstLine="720"/>
        <w:jc w:val="both"/>
        <w:rPr>
          <w:rFonts w:ascii="Times New Roman" w:hAnsi="Times New Roman" w:cs="Times New Roman"/>
        </w:rPr>
      </w:pPr>
      <w:r>
        <w:rPr>
          <w:rFonts w:ascii="Times New Roman" w:hAnsi="Times New Roman" w:cs="Times New Roman"/>
        </w:rPr>
        <w:t xml:space="preserve">Taking </w:t>
      </w:r>
      <w:r w:rsidR="00C97C95">
        <w:rPr>
          <w:rFonts w:ascii="Times New Roman" w:hAnsi="Times New Roman" w:cs="Times New Roman"/>
        </w:rPr>
        <w:t xml:space="preserve">all </w:t>
      </w:r>
      <w:r>
        <w:rPr>
          <w:rFonts w:ascii="Times New Roman" w:hAnsi="Times New Roman" w:cs="Times New Roman"/>
        </w:rPr>
        <w:t xml:space="preserve">these into </w:t>
      </w:r>
      <w:r w:rsidR="00DA7426">
        <w:rPr>
          <w:rFonts w:ascii="Times New Roman" w:hAnsi="Times New Roman" w:cs="Times New Roman"/>
        </w:rPr>
        <w:t>consideration</w:t>
      </w:r>
      <w:r>
        <w:rPr>
          <w:rFonts w:ascii="Times New Roman" w:hAnsi="Times New Roman" w:cs="Times New Roman"/>
        </w:rPr>
        <w:t xml:space="preserve"> the </w:t>
      </w:r>
      <w:proofErr w:type="spellStart"/>
      <w:r>
        <w:rPr>
          <w:rFonts w:ascii="Times New Roman" w:hAnsi="Times New Roman" w:cs="Times New Roman"/>
        </w:rPr>
        <w:t>BoD</w:t>
      </w:r>
      <w:proofErr w:type="spellEnd"/>
      <w:r>
        <w:rPr>
          <w:rFonts w:ascii="Times New Roman" w:hAnsi="Times New Roman" w:cs="Times New Roman"/>
        </w:rPr>
        <w:t xml:space="preserve"> model can be written </w:t>
      </w:r>
      <w:r w:rsidR="00C97C95">
        <w:rPr>
          <w:rFonts w:ascii="Times New Roman" w:hAnsi="Times New Roman" w:cs="Times New Roman"/>
        </w:rPr>
        <w:t>in the form of</w:t>
      </w:r>
      <w:r>
        <w:rPr>
          <w:rFonts w:ascii="Times New Roman" w:hAnsi="Times New Roman" w:cs="Times New Roman"/>
        </w:rPr>
        <w:t xml:space="preserve"> a linear programming problem as:  </w:t>
      </w:r>
      <w:r w:rsidR="004316FB">
        <w:rPr>
          <w:rFonts w:ascii="Times New Roman" w:hAnsi="Times New Roman" w:cs="Times New Roman"/>
        </w:rPr>
        <w:t xml:space="preserve"> </w:t>
      </w:r>
      <w:r w:rsidR="00252361">
        <w:rPr>
          <w:rFonts w:ascii="Times New Roman" w:hAnsi="Times New Roman" w:cs="Times New Roman"/>
        </w:rPr>
        <w:t xml:space="preserve">  </w:t>
      </w:r>
    </w:p>
    <w:p w14:paraId="793996DF" w14:textId="77777777" w:rsidR="000806F8" w:rsidRDefault="000806F8" w:rsidP="000806F8"/>
    <w:p w14:paraId="315DD270" w14:textId="77777777" w:rsidR="000806F8" w:rsidRPr="000806F8" w:rsidRDefault="00DA0907" w:rsidP="000806F8">
      <w:pPr>
        <w:spacing w:line="360" w:lineRule="auto"/>
        <w:ind w:left="1985"/>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k</m:t>
              </m:r>
            </m:sup>
          </m:s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lim>
              </m:limLow>
            </m:fName>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k</m:t>
                      </m:r>
                    </m:sup>
                  </m:sSubSup>
                </m:e>
              </m:nary>
            </m:e>
          </m:func>
        </m:oMath>
      </m:oMathPara>
    </w:p>
    <w:p w14:paraId="775EDC0A" w14:textId="04A67E95" w:rsidR="000806F8" w:rsidRPr="000806F8" w:rsidRDefault="000806F8" w:rsidP="000806F8">
      <w:pPr>
        <w:spacing w:line="360" w:lineRule="auto"/>
        <w:ind w:left="1985"/>
      </w:pPr>
      <m:oMathPara>
        <m:oMathParaPr>
          <m:jc m:val="left"/>
        </m:oMathParaPr>
        <m:oMath>
          <m:r>
            <w:rPr>
              <w:rFonts w:ascii="Cambria Math" w:hAnsi="Cambria Math"/>
            </w:rPr>
            <m:t xml:space="preserve">            st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j</m:t>
                  </m:r>
                </m:sup>
              </m:sSubSup>
            </m:e>
          </m:nary>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j</m:t>
              </m:r>
            </m:sup>
          </m:sSup>
          <m:r>
            <w:rPr>
              <w:rFonts w:ascii="Cambria Math" w:hAnsi="Cambria Math"/>
            </w:rPr>
            <m:t xml:space="preserve">   ∀ j=1,…,K                                          (1)</m:t>
          </m:r>
        </m:oMath>
      </m:oMathPara>
    </w:p>
    <w:p w14:paraId="0D2C652C" w14:textId="77777777" w:rsidR="000806F8" w:rsidRPr="000806F8" w:rsidRDefault="000806F8" w:rsidP="000806F8">
      <w:pPr>
        <w:spacing w:line="360" w:lineRule="auto"/>
        <w:ind w:left="1985"/>
      </w:pPr>
      <m:oMathPara>
        <m:oMathParaPr>
          <m:jc m:val="left"/>
        </m:oMathParaPr>
        <m:oMath>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r>
            <w:rPr>
              <w:rFonts w:ascii="Cambria Math" w:hAnsi="Cambria Math"/>
            </w:rPr>
            <m:t>≥0               ∀ i=1,…,N</m:t>
          </m:r>
        </m:oMath>
      </m:oMathPara>
    </w:p>
    <w:p w14:paraId="7B31EE12" w14:textId="77777777" w:rsidR="000806F8" w:rsidRDefault="000806F8" w:rsidP="000806F8">
      <w:pPr>
        <w:spacing w:line="360" w:lineRule="auto"/>
      </w:pPr>
    </w:p>
    <w:p w14:paraId="2E6EFADA" w14:textId="52F0DFBD" w:rsidR="00174107" w:rsidRDefault="00C97C95" w:rsidP="00367248">
      <w:pPr>
        <w:spacing w:line="360" w:lineRule="auto"/>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k</m:t>
            </m:r>
          </m:sup>
        </m:sSup>
      </m:oMath>
      <w:r w:rsidR="00367248">
        <w:rPr>
          <w:rFonts w:ascii="Times New Roman" w:hAnsi="Times New Roman" w:cs="Times New Roman"/>
        </w:rPr>
        <w:t xml:space="preserve"> </w:t>
      </w:r>
      <w:r w:rsidR="000806F8">
        <w:rPr>
          <w:rFonts w:ascii="Times New Roman" w:hAnsi="Times New Roman" w:cs="Times New Roman"/>
        </w:rPr>
        <w:t xml:space="preserve">is the composite indicator of the </w:t>
      </w:r>
      <w:proofErr w:type="spellStart"/>
      <w:r w:rsidR="000806F8">
        <w:rPr>
          <w:rFonts w:ascii="Times New Roman" w:hAnsi="Times New Roman" w:cs="Times New Roman"/>
        </w:rPr>
        <w:t>k</w:t>
      </w:r>
      <w:r w:rsidR="000806F8" w:rsidRPr="00F1275E">
        <w:rPr>
          <w:rFonts w:ascii="Times New Roman" w:hAnsi="Times New Roman" w:cs="Times New Roman"/>
          <w:vertAlign w:val="superscript"/>
        </w:rPr>
        <w:t>th</w:t>
      </w:r>
      <w:proofErr w:type="spellEnd"/>
      <w:r w:rsidR="000806F8">
        <w:rPr>
          <w:rFonts w:ascii="Times New Roman" w:hAnsi="Times New Roman" w:cs="Times New Roman"/>
        </w:rPr>
        <w:t xml:space="preserve"> DMU,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i</m:t>
            </m:r>
          </m:sub>
          <m:sup>
            <m:r>
              <w:rPr>
                <w:rFonts w:ascii="Cambria Math" w:hAnsi="Cambria Math" w:cs="Times New Roman"/>
              </w:rPr>
              <m:t>k</m:t>
            </m:r>
          </m:sup>
        </m:sSubSup>
      </m:oMath>
      <w:r w:rsidR="000806F8">
        <w:rPr>
          <w:rFonts w:ascii="Times New Roman" w:hAnsi="Times New Roman" w:cs="Times New Roman"/>
        </w:rPr>
        <w:t xml:space="preserve"> </w:t>
      </w:r>
      <w:r w:rsidR="00367248">
        <w:rPr>
          <w:rFonts w:ascii="Times New Roman" w:hAnsi="Times New Roman" w:cs="Times New Roman"/>
        </w:rPr>
        <w:t xml:space="preserve">is the </w:t>
      </w:r>
      <w:proofErr w:type="spellStart"/>
      <w:r w:rsidR="00367248">
        <w:rPr>
          <w:rFonts w:ascii="Times New Roman" w:hAnsi="Times New Roman" w:cs="Times New Roman"/>
        </w:rPr>
        <w:t>i</w:t>
      </w:r>
      <w:r w:rsidR="00367248" w:rsidRPr="00F1275E">
        <w:rPr>
          <w:rFonts w:ascii="Times New Roman" w:hAnsi="Times New Roman" w:cs="Times New Roman"/>
          <w:vertAlign w:val="superscript"/>
        </w:rPr>
        <w:t>th</w:t>
      </w:r>
      <w:proofErr w:type="spellEnd"/>
      <w:r w:rsidR="00367248">
        <w:rPr>
          <w:rFonts w:ascii="Times New Roman" w:hAnsi="Times New Roman" w:cs="Times New Roman"/>
        </w:rPr>
        <w:t xml:space="preserve"> sub-indicator of the </w:t>
      </w:r>
      <w:proofErr w:type="spellStart"/>
      <w:r w:rsidR="00367248">
        <w:rPr>
          <w:rFonts w:ascii="Times New Roman" w:hAnsi="Times New Roman" w:cs="Times New Roman"/>
        </w:rPr>
        <w:t>k</w:t>
      </w:r>
      <w:r w:rsidR="00367248" w:rsidRPr="00F1275E">
        <w:rPr>
          <w:rFonts w:ascii="Times New Roman" w:hAnsi="Times New Roman" w:cs="Times New Roman"/>
          <w:vertAlign w:val="superscript"/>
        </w:rPr>
        <w:t>th</w:t>
      </w:r>
      <w:proofErr w:type="spellEnd"/>
      <w:r w:rsidR="000806F8">
        <w:rPr>
          <w:rFonts w:ascii="Times New Roman" w:hAnsi="Times New Roman" w:cs="Times New Roman"/>
        </w:rPr>
        <w:t xml:space="preserve"> DMU</w:t>
      </w:r>
      <w:r w:rsidR="00367248">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k</m:t>
            </m:r>
          </m:sup>
        </m:sSubSup>
      </m:oMath>
      <w:r w:rsidR="000806F8">
        <w:rPr>
          <w:rFonts w:ascii="Times New Roman" w:hAnsi="Times New Roman" w:cs="Times New Roman"/>
        </w:rPr>
        <w:t xml:space="preserve"> </w:t>
      </w:r>
      <w:r w:rsidR="00F1275E">
        <w:rPr>
          <w:rFonts w:ascii="Times New Roman" w:hAnsi="Times New Roman" w:cs="Times New Roman"/>
        </w:rPr>
        <w:t xml:space="preserve">are the </w:t>
      </w:r>
      <w:r w:rsidR="000806F8">
        <w:rPr>
          <w:rFonts w:ascii="Times New Roman" w:hAnsi="Times New Roman" w:cs="Times New Roman"/>
        </w:rPr>
        <w:t xml:space="preserve">(unit-specific) </w:t>
      </w:r>
      <w:r w:rsidR="00F1275E">
        <w:rPr>
          <w:rFonts w:ascii="Times New Roman" w:hAnsi="Times New Roman" w:cs="Times New Roman"/>
        </w:rPr>
        <w:t>weights</w:t>
      </w:r>
      <w:r w:rsidR="00367248">
        <w:rPr>
          <w:rFonts w:ascii="Times New Roman" w:hAnsi="Times New Roman" w:cs="Times New Roman"/>
        </w:rPr>
        <w:t xml:space="preserve"> to be estimated</w:t>
      </w:r>
      <w:r w:rsidR="00F1275E">
        <w:rPr>
          <w:rFonts w:ascii="Times New Roman" w:hAnsi="Times New Roman" w:cs="Times New Roman"/>
        </w:rPr>
        <w:t>,</w:t>
      </w:r>
      <w:r w:rsidR="000806F8">
        <w:rPr>
          <w:rFonts w:ascii="Times New Roman" w:hAnsi="Times New Roman" w:cs="Times New Roman"/>
        </w:rPr>
        <w:t xml:space="preserve"> </w:t>
      </w:r>
      <m:oMath>
        <m:r>
          <w:rPr>
            <w:rFonts w:ascii="Cambria Math" w:hAnsi="Cambria Math" w:cs="Times New Roman"/>
          </w:rPr>
          <m:t>j=1,…,k,…,K</m:t>
        </m:r>
      </m:oMath>
      <w:r w:rsidR="005B30A7">
        <w:rPr>
          <w:rFonts w:ascii="Times New Roman" w:hAnsi="Times New Roman" w:cs="Times New Roman"/>
        </w:rPr>
        <w:t xml:space="preserve"> is used to index DMU</w:t>
      </w:r>
      <w:r w:rsidR="00F1275E">
        <w:rPr>
          <w:rFonts w:ascii="Times New Roman" w:hAnsi="Times New Roman" w:cs="Times New Roman"/>
        </w:rPr>
        <w:t>s and</w:t>
      </w:r>
      <w:r w:rsidR="000806F8">
        <w:rPr>
          <w:rFonts w:ascii="Times New Roman" w:hAnsi="Times New Roman" w:cs="Times New Roman"/>
        </w:rPr>
        <w:t xml:space="preserve"> </w:t>
      </w:r>
      <m:oMath>
        <m:r>
          <w:rPr>
            <w:rFonts w:ascii="Cambria Math" w:hAnsi="Cambria Math" w:cs="Times New Roman"/>
          </w:rPr>
          <m:t>i=1,…,N</m:t>
        </m:r>
      </m:oMath>
      <w:r w:rsidR="00F1275E">
        <w:rPr>
          <w:rFonts w:ascii="Times New Roman" w:hAnsi="Times New Roman" w:cs="Times New Roman"/>
        </w:rPr>
        <w:t xml:space="preserve"> to index sub-indicators. </w:t>
      </w:r>
      <w:r w:rsidR="00BC7BE7">
        <w:rPr>
          <w:rFonts w:ascii="Times New Roman" w:hAnsi="Times New Roman" w:cs="Times New Roman"/>
        </w:rPr>
        <w:t xml:space="preserve"> </w:t>
      </w:r>
      <w:r w:rsidR="00C642D7">
        <w:rPr>
          <w:rFonts w:ascii="Times New Roman" w:hAnsi="Times New Roman" w:cs="Times New Roman"/>
        </w:rPr>
        <w:t xml:space="preserve">Thus the </w:t>
      </w:r>
      <w:proofErr w:type="spellStart"/>
      <w:r w:rsidR="00C642D7">
        <w:rPr>
          <w:rFonts w:ascii="Times New Roman" w:hAnsi="Times New Roman" w:cs="Times New Roman"/>
        </w:rPr>
        <w:t>BoD</w:t>
      </w:r>
      <w:proofErr w:type="spellEnd"/>
      <w:r w:rsidR="00C642D7">
        <w:rPr>
          <w:rFonts w:ascii="Times New Roman" w:hAnsi="Times New Roman" w:cs="Times New Roman"/>
        </w:rPr>
        <w:t xml:space="preserve"> </w:t>
      </w:r>
      <w:r w:rsidR="000806F8">
        <w:rPr>
          <w:rFonts w:ascii="Times New Roman" w:hAnsi="Times New Roman" w:cs="Times New Roman"/>
        </w:rPr>
        <w:t xml:space="preserve">model </w:t>
      </w:r>
      <w:r w:rsidR="0006759E">
        <w:rPr>
          <w:rFonts w:ascii="Times New Roman" w:hAnsi="Times New Roman" w:cs="Times New Roman"/>
        </w:rPr>
        <w:t>may be view</w:t>
      </w:r>
      <w:r w:rsidR="004F42E1">
        <w:rPr>
          <w:rFonts w:ascii="Times New Roman" w:hAnsi="Times New Roman" w:cs="Times New Roman"/>
        </w:rPr>
        <w:t>ed</w:t>
      </w:r>
      <w:r w:rsidR="00C642D7">
        <w:rPr>
          <w:rFonts w:ascii="Times New Roman" w:hAnsi="Times New Roman" w:cs="Times New Roman"/>
        </w:rPr>
        <w:t xml:space="preserve"> as a tool for aggregating performance sub-indicators without explicit reference to the input</w:t>
      </w:r>
      <w:r w:rsidR="00465B22">
        <w:rPr>
          <w:rFonts w:ascii="Times New Roman" w:hAnsi="Times New Roman" w:cs="Times New Roman"/>
        </w:rPr>
        <w:t>(s)</w:t>
      </w:r>
      <w:r w:rsidR="00C642D7">
        <w:rPr>
          <w:rFonts w:ascii="Times New Roman" w:hAnsi="Times New Roman" w:cs="Times New Roman"/>
        </w:rPr>
        <w:t xml:space="preserve"> used to achieve such performance (</w:t>
      </w:r>
      <w:proofErr w:type="spellStart"/>
      <w:r w:rsidR="00C642D7">
        <w:rPr>
          <w:rFonts w:ascii="Times New Roman" w:hAnsi="Times New Roman" w:cs="Times New Roman"/>
        </w:rPr>
        <w:t>Cherchye</w:t>
      </w:r>
      <w:proofErr w:type="spellEnd"/>
      <w:r w:rsidR="00C642D7">
        <w:rPr>
          <w:rFonts w:ascii="Times New Roman" w:hAnsi="Times New Roman" w:cs="Times New Roman"/>
        </w:rPr>
        <w:t xml:space="preserve"> </w:t>
      </w:r>
      <w:r w:rsidR="00C642D7" w:rsidRPr="001D767F">
        <w:rPr>
          <w:rFonts w:ascii="Times New Roman" w:hAnsi="Times New Roman" w:cs="Times New Roman"/>
          <w:i/>
        </w:rPr>
        <w:t>et al.</w:t>
      </w:r>
      <w:r w:rsidR="002E2D9A">
        <w:rPr>
          <w:rFonts w:ascii="Times New Roman" w:hAnsi="Times New Roman" w:cs="Times New Roman"/>
        </w:rPr>
        <w:t>, 2007).</w:t>
      </w:r>
      <w:r w:rsidR="002C24D7">
        <w:rPr>
          <w:rStyle w:val="EndnoteReference"/>
          <w:rFonts w:ascii="Times New Roman" w:hAnsi="Times New Roman" w:cs="Times New Roman"/>
        </w:rPr>
        <w:endnoteReference w:id="2"/>
      </w:r>
      <w:r w:rsidR="002E2D9A">
        <w:rPr>
          <w:rFonts w:ascii="Times New Roman" w:hAnsi="Times New Roman" w:cs="Times New Roman"/>
        </w:rPr>
        <w:t xml:space="preserve">   Indeed i</w:t>
      </w:r>
      <w:r w:rsidR="00C642D7">
        <w:rPr>
          <w:rFonts w:ascii="Times New Roman" w:hAnsi="Times New Roman" w:cs="Times New Roman"/>
        </w:rPr>
        <w:t xml:space="preserve">t can be </w:t>
      </w:r>
      <w:r w:rsidR="00D66228">
        <w:rPr>
          <w:rFonts w:ascii="Times New Roman" w:hAnsi="Times New Roman" w:cs="Times New Roman"/>
        </w:rPr>
        <w:t>shown (</w:t>
      </w:r>
      <w:r w:rsidR="002839B1">
        <w:rPr>
          <w:rFonts w:ascii="Times New Roman" w:hAnsi="Times New Roman" w:cs="Times New Roman"/>
        </w:rPr>
        <w:t xml:space="preserve">see </w:t>
      </w:r>
      <w:r w:rsidR="00B16990">
        <w:rPr>
          <w:rFonts w:ascii="Times New Roman" w:hAnsi="Times New Roman" w:cs="Times New Roman"/>
        </w:rPr>
        <w:t xml:space="preserve">Cook and Kress, 1990; </w:t>
      </w:r>
      <w:proofErr w:type="spellStart"/>
      <w:r w:rsidR="00D66228">
        <w:rPr>
          <w:rFonts w:ascii="Times New Roman" w:hAnsi="Times New Roman" w:cs="Times New Roman"/>
        </w:rPr>
        <w:t>Caporaletti</w:t>
      </w:r>
      <w:proofErr w:type="spellEnd"/>
      <w:r w:rsidR="00D66228">
        <w:rPr>
          <w:rFonts w:ascii="Times New Roman" w:hAnsi="Times New Roman" w:cs="Times New Roman"/>
        </w:rPr>
        <w:t xml:space="preserve">, </w:t>
      </w:r>
      <w:proofErr w:type="spellStart"/>
      <w:r w:rsidR="00D66228">
        <w:rPr>
          <w:rFonts w:ascii="Times New Roman" w:hAnsi="Times New Roman" w:cs="Times New Roman"/>
        </w:rPr>
        <w:t>Dula</w:t>
      </w:r>
      <w:proofErr w:type="spellEnd"/>
      <w:r w:rsidR="00D66228">
        <w:rPr>
          <w:rFonts w:ascii="Times New Roman" w:hAnsi="Times New Roman" w:cs="Times New Roman"/>
        </w:rPr>
        <w:t xml:space="preserve"> and </w:t>
      </w:r>
      <w:proofErr w:type="spellStart"/>
      <w:r w:rsidR="00D66228">
        <w:rPr>
          <w:rFonts w:ascii="Times New Roman" w:hAnsi="Times New Roman" w:cs="Times New Roman"/>
        </w:rPr>
        <w:t>Womer</w:t>
      </w:r>
      <w:proofErr w:type="spellEnd"/>
      <w:r w:rsidR="00D66228">
        <w:rPr>
          <w:rFonts w:ascii="Times New Roman" w:hAnsi="Times New Roman" w:cs="Times New Roman"/>
        </w:rPr>
        <w:t xml:space="preserve">, 1999; </w:t>
      </w:r>
      <w:proofErr w:type="spellStart"/>
      <w:r w:rsidR="00BC7BE7">
        <w:rPr>
          <w:rFonts w:ascii="Times New Roman" w:hAnsi="Times New Roman" w:cs="Times New Roman"/>
        </w:rPr>
        <w:t>Despo</w:t>
      </w:r>
      <w:r w:rsidR="00F1275E">
        <w:rPr>
          <w:rFonts w:ascii="Times New Roman" w:hAnsi="Times New Roman" w:cs="Times New Roman"/>
        </w:rPr>
        <w:t>tis</w:t>
      </w:r>
      <w:proofErr w:type="spellEnd"/>
      <w:r w:rsidR="00F1275E">
        <w:rPr>
          <w:rFonts w:ascii="Times New Roman" w:hAnsi="Times New Roman" w:cs="Times New Roman"/>
        </w:rPr>
        <w:t>,</w:t>
      </w:r>
      <w:r w:rsidR="00C642D7">
        <w:rPr>
          <w:rFonts w:ascii="Times New Roman" w:hAnsi="Times New Roman" w:cs="Times New Roman"/>
        </w:rPr>
        <w:t xml:space="preserve"> 2005) that the </w:t>
      </w:r>
      <w:proofErr w:type="spellStart"/>
      <w:r w:rsidR="00C642D7">
        <w:rPr>
          <w:rFonts w:ascii="Times New Roman" w:hAnsi="Times New Roman" w:cs="Times New Roman"/>
        </w:rPr>
        <w:t>BoD</w:t>
      </w:r>
      <w:proofErr w:type="spellEnd"/>
      <w:r w:rsidR="00C642D7">
        <w:rPr>
          <w:rFonts w:ascii="Times New Roman" w:hAnsi="Times New Roman" w:cs="Times New Roman"/>
        </w:rPr>
        <w:t xml:space="preserve"> model</w:t>
      </w:r>
      <w:r w:rsidR="00F1275E">
        <w:rPr>
          <w:rFonts w:ascii="Times New Roman" w:hAnsi="Times New Roman" w:cs="Times New Roman"/>
        </w:rPr>
        <w:t xml:space="preserve"> is a sp</w:t>
      </w:r>
      <w:r w:rsidR="00DA7426">
        <w:rPr>
          <w:rFonts w:ascii="Times New Roman" w:hAnsi="Times New Roman" w:cs="Times New Roman"/>
        </w:rPr>
        <w:t xml:space="preserve">ecial case of the </w:t>
      </w:r>
      <w:proofErr w:type="spellStart"/>
      <w:r w:rsidR="00DA7426">
        <w:rPr>
          <w:rFonts w:ascii="Times New Roman" w:hAnsi="Times New Roman" w:cs="Times New Roman"/>
        </w:rPr>
        <w:t>Charnes</w:t>
      </w:r>
      <w:proofErr w:type="spellEnd"/>
      <w:r w:rsidR="00DA7426">
        <w:rPr>
          <w:rFonts w:ascii="Times New Roman" w:hAnsi="Times New Roman" w:cs="Times New Roman"/>
        </w:rPr>
        <w:t>, Coop</w:t>
      </w:r>
      <w:r w:rsidR="005B30A7">
        <w:rPr>
          <w:rFonts w:ascii="Times New Roman" w:hAnsi="Times New Roman" w:cs="Times New Roman"/>
        </w:rPr>
        <w:t>er and Rhodes (1978) input-</w:t>
      </w:r>
      <w:r w:rsidR="002839B1">
        <w:rPr>
          <w:rFonts w:ascii="Times New Roman" w:hAnsi="Times New Roman" w:cs="Times New Roman"/>
        </w:rPr>
        <w:t>oriented constant-returns-to-</w:t>
      </w:r>
      <w:r w:rsidR="00F1275E">
        <w:rPr>
          <w:rFonts w:ascii="Times New Roman" w:hAnsi="Times New Roman" w:cs="Times New Roman"/>
        </w:rPr>
        <w:t>scale (CRS) DEA model when there is</w:t>
      </w:r>
      <w:r w:rsidR="002839B1">
        <w:rPr>
          <w:rFonts w:ascii="Times New Roman" w:hAnsi="Times New Roman" w:cs="Times New Roman"/>
        </w:rPr>
        <w:t xml:space="preserve"> a single constant </w:t>
      </w:r>
      <w:r w:rsidR="00F1275E">
        <w:rPr>
          <w:rFonts w:ascii="Times New Roman" w:hAnsi="Times New Roman" w:cs="Times New Roman"/>
        </w:rPr>
        <w:t>i</w:t>
      </w:r>
      <w:r w:rsidR="00E82FF8">
        <w:rPr>
          <w:rFonts w:ascii="Times New Roman" w:hAnsi="Times New Roman" w:cs="Times New Roman"/>
        </w:rPr>
        <w:t>nput</w:t>
      </w:r>
      <w:r w:rsidR="002839B1">
        <w:rPr>
          <w:rFonts w:ascii="Times New Roman" w:hAnsi="Times New Roman" w:cs="Times New Roman"/>
        </w:rPr>
        <w:t xml:space="preserve"> that takes the value of one for all DMUs</w:t>
      </w:r>
      <w:r w:rsidR="00F1275E">
        <w:rPr>
          <w:rFonts w:ascii="Times New Roman" w:hAnsi="Times New Roman" w:cs="Times New Roman"/>
        </w:rPr>
        <w:t>.</w:t>
      </w:r>
      <w:r w:rsidR="00C642D7">
        <w:rPr>
          <w:rStyle w:val="EndnoteReference"/>
          <w:rFonts w:ascii="Times New Roman" w:hAnsi="Times New Roman" w:cs="Times New Roman"/>
        </w:rPr>
        <w:endnoteReference w:id="3"/>
      </w:r>
      <w:r w:rsidR="002C24D7">
        <w:rPr>
          <w:rFonts w:ascii="Times New Roman" w:hAnsi="Times New Roman" w:cs="Times New Roman"/>
        </w:rPr>
        <w:t xml:space="preserve">  </w:t>
      </w:r>
      <w:r w:rsidR="004F42E1">
        <w:rPr>
          <w:rFonts w:ascii="Times New Roman" w:hAnsi="Times New Roman" w:cs="Times New Roman"/>
        </w:rPr>
        <w:t>To verify</w:t>
      </w:r>
      <w:r w:rsidR="002839B1">
        <w:rPr>
          <w:rFonts w:ascii="Times New Roman" w:hAnsi="Times New Roman" w:cs="Times New Roman"/>
        </w:rPr>
        <w:t xml:space="preserve"> this notice that the </w:t>
      </w:r>
      <w:r w:rsidR="004F42E1">
        <w:rPr>
          <w:rFonts w:ascii="Times New Roman" w:hAnsi="Times New Roman" w:cs="Times New Roman"/>
        </w:rPr>
        <w:t xml:space="preserve">multiplier form of the </w:t>
      </w:r>
      <w:r w:rsidR="002839B1">
        <w:rPr>
          <w:rFonts w:ascii="Times New Roman" w:hAnsi="Times New Roman" w:cs="Times New Roman"/>
        </w:rPr>
        <w:t>input-orient</w:t>
      </w:r>
      <w:r w:rsidR="004F42E1">
        <w:rPr>
          <w:rFonts w:ascii="Times New Roman" w:hAnsi="Times New Roman" w:cs="Times New Roman"/>
        </w:rPr>
        <w:t>ed CRS DEA model</w:t>
      </w:r>
      <w:r w:rsidR="002C24D7">
        <w:rPr>
          <w:rFonts w:ascii="Times New Roman" w:hAnsi="Times New Roman" w:cs="Times New Roman"/>
        </w:rPr>
        <w:t xml:space="preserve"> </w:t>
      </w:r>
      <w:r w:rsidR="00F1275E">
        <w:rPr>
          <w:rFonts w:ascii="Times New Roman" w:hAnsi="Times New Roman" w:cs="Times New Roman"/>
        </w:rPr>
        <w:t xml:space="preserve">is given as:  </w:t>
      </w:r>
    </w:p>
    <w:p w14:paraId="6ADDCFC6" w14:textId="77777777" w:rsidR="001131D9" w:rsidRDefault="001131D9" w:rsidP="001131D9">
      <w:pPr>
        <w:rPr>
          <w:rFonts w:ascii="Times New Roman" w:hAnsi="Times New Roman" w:cs="Times New Roman"/>
        </w:rPr>
      </w:pPr>
    </w:p>
    <w:p w14:paraId="526C2BF8" w14:textId="68BD786F" w:rsidR="000806F8" w:rsidRPr="009175FF" w:rsidRDefault="00DA0907" w:rsidP="00EB6079">
      <w:pPr>
        <w:spacing w:line="360" w:lineRule="auto"/>
        <w:ind w:left="1843"/>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k</m:t>
              </m:r>
            </m:sup>
          </m:s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lim>
              </m:limLow>
            </m:fName>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k</m:t>
                      </m:r>
                    </m:sup>
                  </m:sSubSup>
                </m:e>
              </m:nary>
            </m:e>
          </m:func>
        </m:oMath>
      </m:oMathPara>
    </w:p>
    <w:p w14:paraId="1ADFBB36" w14:textId="220C32A7" w:rsidR="000806F8" w:rsidRPr="009175FF" w:rsidRDefault="000806F8" w:rsidP="00EB6079">
      <w:pPr>
        <w:spacing w:line="360" w:lineRule="auto"/>
        <w:ind w:left="1843"/>
      </w:pPr>
      <m:oMathPara>
        <m:oMathParaPr>
          <m:jc m:val="left"/>
        </m:oMathParaPr>
        <m:oMath>
          <m:r>
            <w:rPr>
              <w:rFonts w:ascii="Cambria Math" w:hAnsi="Cambria Math"/>
            </w:rPr>
            <m:t xml:space="preserve">            st  </m:t>
          </m:r>
          <m:nary>
            <m:naryPr>
              <m:chr m:val="∑"/>
              <m:limLoc m:val="undOvr"/>
              <m:ctrlPr>
                <w:rPr>
                  <w:rFonts w:ascii="Cambria Math" w:hAnsi="Cambria Math"/>
                  <w:i/>
                </w:rPr>
              </m:ctrlPr>
            </m:naryPr>
            <m:sub>
              <m:r>
                <w:rPr>
                  <w:rFonts w:ascii="Cambria Math" w:hAnsi="Cambria Math"/>
                </w:rPr>
                <m:t>r=1</m:t>
              </m:r>
            </m:sub>
            <m:sup>
              <m:r>
                <w:rPr>
                  <w:rFonts w:ascii="Cambria Math" w:hAnsi="Cambria Math"/>
                </w:rPr>
                <m:t>M</m:t>
              </m:r>
            </m:sup>
            <m:e>
              <m:sSubSup>
                <m:sSubSupPr>
                  <m:ctrlPr>
                    <w:rPr>
                      <w:rFonts w:ascii="Cambria Math" w:hAnsi="Cambria Math"/>
                      <w:i/>
                    </w:rPr>
                  </m:ctrlPr>
                </m:sSubSupPr>
                <m:e>
                  <m:r>
                    <w:rPr>
                      <w:rFonts w:ascii="Cambria Math" w:hAnsi="Cambria Math"/>
                    </w:rPr>
                    <m:t>v</m:t>
                  </m:r>
                </m:e>
                <m:sub>
                  <m:r>
                    <w:rPr>
                      <w:rFonts w:ascii="Cambria Math" w:hAnsi="Cambria Math"/>
                    </w:rPr>
                    <m:t>r</m:t>
                  </m:r>
                </m:sub>
                <m:sup>
                  <m:r>
                    <w:rPr>
                      <w:rFonts w:ascii="Cambria Math" w:hAnsi="Cambria Math"/>
                    </w:rPr>
                    <m:t>k</m:t>
                  </m:r>
                </m:sup>
              </m:sSubSup>
              <m:sSubSup>
                <m:sSubSupPr>
                  <m:ctrlPr>
                    <w:rPr>
                      <w:rFonts w:ascii="Cambria Math" w:hAnsi="Cambria Math"/>
                      <w:i/>
                    </w:rPr>
                  </m:ctrlPr>
                </m:sSubSupPr>
                <m:e>
                  <m:r>
                    <w:rPr>
                      <w:rFonts w:ascii="Cambria Math" w:hAnsi="Cambria Math"/>
                    </w:rPr>
                    <m:t>x</m:t>
                  </m:r>
                </m:e>
                <m:sub>
                  <m:r>
                    <w:rPr>
                      <w:rFonts w:ascii="Cambria Math" w:hAnsi="Cambria Math"/>
                    </w:rPr>
                    <m:t>r</m:t>
                  </m:r>
                </m:sub>
                <m:sup>
                  <m:r>
                    <w:rPr>
                      <w:rFonts w:ascii="Cambria Math" w:hAnsi="Cambria Math"/>
                    </w:rPr>
                    <m:t>j</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j</m:t>
                  </m:r>
                </m:sup>
              </m:sSubSup>
            </m:e>
          </m:nary>
          <m:r>
            <w:rPr>
              <w:rFonts w:ascii="Cambria Math" w:hAnsi="Cambria Math"/>
            </w:rPr>
            <m:t>≥0   ∀ j=1,…,K                        (2)</m:t>
          </m:r>
        </m:oMath>
      </m:oMathPara>
    </w:p>
    <w:p w14:paraId="141DD299" w14:textId="7F85F325" w:rsidR="000806F8" w:rsidRPr="009175FF" w:rsidRDefault="000806F8" w:rsidP="00EB6079">
      <w:pPr>
        <w:spacing w:line="360" w:lineRule="auto"/>
        <w:ind w:left="1843"/>
      </w:pPr>
      <m:oMathPara>
        <m:oMathParaPr>
          <m:jc m:val="left"/>
        </m:oMathParaPr>
        <m:oMath>
          <m:r>
            <w:rPr>
              <w:rFonts w:ascii="Cambria Math" w:hAnsi="Cambria Math"/>
            </w:rPr>
            <m:t xml:space="preserve">                  </m:t>
          </m:r>
          <m:nary>
            <m:naryPr>
              <m:chr m:val="∑"/>
              <m:limLoc m:val="undOvr"/>
              <m:ctrlPr>
                <w:rPr>
                  <w:rFonts w:ascii="Cambria Math" w:hAnsi="Cambria Math"/>
                  <w:i/>
                </w:rPr>
              </m:ctrlPr>
            </m:naryPr>
            <m:sub>
              <m:r>
                <w:rPr>
                  <w:rFonts w:ascii="Cambria Math" w:hAnsi="Cambria Math"/>
                </w:rPr>
                <m:t>r=1</m:t>
              </m:r>
            </m:sub>
            <m:sup>
              <m:r>
                <w:rPr>
                  <w:rFonts w:ascii="Cambria Math" w:hAnsi="Cambria Math"/>
                </w:rPr>
                <m:t>M</m:t>
              </m:r>
            </m:sup>
            <m:e>
              <m:sSubSup>
                <m:sSubSupPr>
                  <m:ctrlPr>
                    <w:rPr>
                      <w:rFonts w:ascii="Cambria Math" w:hAnsi="Cambria Math"/>
                      <w:i/>
                    </w:rPr>
                  </m:ctrlPr>
                </m:sSubSupPr>
                <m:e>
                  <m:r>
                    <w:rPr>
                      <w:rFonts w:ascii="Cambria Math" w:hAnsi="Cambria Math"/>
                    </w:rPr>
                    <m:t>v</m:t>
                  </m:r>
                </m:e>
                <m:sub>
                  <m:r>
                    <w:rPr>
                      <w:rFonts w:ascii="Cambria Math" w:hAnsi="Cambria Math"/>
                    </w:rPr>
                    <m:t>r</m:t>
                  </m:r>
                </m:sub>
                <m:sup>
                  <m:r>
                    <w:rPr>
                      <w:rFonts w:ascii="Cambria Math" w:hAnsi="Cambria Math"/>
                    </w:rPr>
                    <m:t>k</m:t>
                  </m:r>
                </m:sup>
              </m:sSubSup>
            </m:e>
          </m:nary>
          <m:sSubSup>
            <m:sSubSupPr>
              <m:ctrlPr>
                <w:rPr>
                  <w:rFonts w:ascii="Cambria Math" w:hAnsi="Cambria Math"/>
                  <w:i/>
                </w:rPr>
              </m:ctrlPr>
            </m:sSubSupPr>
            <m:e>
              <m:r>
                <w:rPr>
                  <w:rFonts w:ascii="Cambria Math" w:hAnsi="Cambria Math"/>
                </w:rPr>
                <m:t>x</m:t>
              </m:r>
            </m:e>
            <m:sub>
              <m:r>
                <w:rPr>
                  <w:rFonts w:ascii="Cambria Math" w:hAnsi="Cambria Math"/>
                </w:rPr>
                <m:t>r</m:t>
              </m:r>
            </m:sub>
            <m:sup>
              <m:r>
                <w:rPr>
                  <w:rFonts w:ascii="Cambria Math" w:hAnsi="Cambria Math"/>
                </w:rPr>
                <m:t>k</m:t>
              </m:r>
            </m:sup>
          </m:sSubSup>
          <m:r>
            <w:rPr>
              <w:rFonts w:ascii="Cambria Math" w:hAnsi="Cambria Math"/>
            </w:rPr>
            <m:t>=1</m:t>
          </m:r>
        </m:oMath>
      </m:oMathPara>
    </w:p>
    <w:p w14:paraId="5724F21A" w14:textId="50CDD125" w:rsidR="000806F8" w:rsidRPr="009175FF" w:rsidRDefault="000806F8" w:rsidP="00EB6079">
      <w:pPr>
        <w:spacing w:line="360" w:lineRule="auto"/>
        <w:ind w:left="1843"/>
      </w:pPr>
      <m:oMathPara>
        <m:oMathParaPr>
          <m:jc m:val="left"/>
        </m:oMathParaPr>
        <m:oMath>
          <m:r>
            <w:rPr>
              <w:rFonts w:ascii="Cambria Math" w:hAnsi="Cambria Math"/>
            </w:rPr>
            <m:t xml:space="preserve">                   </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k</m:t>
              </m:r>
            </m:sup>
          </m:sSubSup>
          <m:r>
            <w:rPr>
              <w:rFonts w:ascii="Cambria Math" w:hAnsi="Cambria Math"/>
            </w:rPr>
            <m:t>≥0                                   ∀ i=1,….,N</m:t>
          </m:r>
        </m:oMath>
      </m:oMathPara>
    </w:p>
    <w:p w14:paraId="3F68A3F7" w14:textId="02DD5847" w:rsidR="000806F8" w:rsidRPr="009175FF" w:rsidRDefault="000806F8" w:rsidP="00EB6079">
      <w:pPr>
        <w:spacing w:line="360" w:lineRule="auto"/>
        <w:ind w:left="1843"/>
      </w:pPr>
      <m:oMathPara>
        <m:oMathParaPr>
          <m:jc m:val="left"/>
        </m:oMathParaPr>
        <m:oMath>
          <m:r>
            <w:rPr>
              <w:rFonts w:ascii="Cambria Math" w:hAnsi="Cambria Math"/>
            </w:rPr>
            <m:t xml:space="preserve">                  </m:t>
          </m:r>
          <m:sSubSup>
            <m:sSubSupPr>
              <m:ctrlPr>
                <w:rPr>
                  <w:rFonts w:ascii="Cambria Math" w:hAnsi="Cambria Math"/>
                  <w:i/>
                </w:rPr>
              </m:ctrlPr>
            </m:sSubSupPr>
            <m:e>
              <m:r>
                <w:rPr>
                  <w:rFonts w:ascii="Cambria Math" w:hAnsi="Cambria Math"/>
                </w:rPr>
                <m:t>v</m:t>
              </m:r>
            </m:e>
            <m:sub>
              <m:r>
                <w:rPr>
                  <w:rFonts w:ascii="Cambria Math" w:hAnsi="Cambria Math"/>
                </w:rPr>
                <m:t>r</m:t>
              </m:r>
            </m:sub>
            <m:sup>
              <m:r>
                <w:rPr>
                  <w:rFonts w:ascii="Cambria Math" w:hAnsi="Cambria Math"/>
                </w:rPr>
                <m:t>k</m:t>
              </m:r>
            </m:sup>
          </m:sSubSup>
          <m:r>
            <w:rPr>
              <w:rFonts w:ascii="Cambria Math" w:hAnsi="Cambria Math"/>
            </w:rPr>
            <m:t>≥0                                    ∀ r=1,…,M</m:t>
          </m:r>
        </m:oMath>
      </m:oMathPara>
    </w:p>
    <w:p w14:paraId="3C7A59E7" w14:textId="77777777" w:rsidR="00174107" w:rsidRDefault="00174107" w:rsidP="00632FEC">
      <w:pPr>
        <w:rPr>
          <w:rFonts w:ascii="Times New Roman" w:hAnsi="Times New Roman" w:cs="Times New Roman"/>
        </w:rPr>
      </w:pPr>
    </w:p>
    <w:p w14:paraId="6302ECA9" w14:textId="18FFF9AB" w:rsidR="002829B0" w:rsidRDefault="002E2D9A" w:rsidP="002E2D9A">
      <w:pPr>
        <w:spacing w:line="360" w:lineRule="auto"/>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w:r w:rsidRPr="002E2D9A">
        <w:rPr>
          <w:rFonts w:ascii="Times New Roman" w:hAnsi="Times New Roman" w:cs="Times New Roman"/>
          <w:i/>
        </w:rPr>
        <w:t>x</w:t>
      </w:r>
      <w:r w:rsidR="00232C18">
        <w:rPr>
          <w:rFonts w:ascii="Times New Roman" w:hAnsi="Times New Roman" w:cs="Times New Roman"/>
        </w:rPr>
        <w:t xml:space="preserve"> refers to input quantities,</w:t>
      </w:r>
      <w:r>
        <w:rPr>
          <w:rFonts w:ascii="Times New Roman" w:hAnsi="Times New Roman" w:cs="Times New Roman"/>
        </w:rPr>
        <w:t xml:space="preserve"> </w:t>
      </w:r>
      <w:r w:rsidRPr="002E2D9A">
        <w:rPr>
          <w:rFonts w:ascii="Times New Roman" w:hAnsi="Times New Roman" w:cs="Times New Roman"/>
          <w:i/>
        </w:rPr>
        <w:t>v</w:t>
      </w:r>
      <w:r w:rsidR="00A86578">
        <w:rPr>
          <w:rFonts w:ascii="Times New Roman" w:hAnsi="Times New Roman" w:cs="Times New Roman"/>
        </w:rPr>
        <w:t xml:space="preserve"> to their relative</w:t>
      </w:r>
      <w:r>
        <w:rPr>
          <w:rFonts w:ascii="Times New Roman" w:hAnsi="Times New Roman" w:cs="Times New Roman"/>
        </w:rPr>
        <w:t xml:space="preserve"> weights</w:t>
      </w:r>
      <w:r w:rsidR="00232C18">
        <w:rPr>
          <w:rFonts w:ascii="Times New Roman" w:hAnsi="Times New Roman" w:cs="Times New Roman"/>
        </w:rPr>
        <w:t xml:space="preserve"> </w:t>
      </w:r>
      <w:r w:rsidR="004F42E1">
        <w:rPr>
          <w:rFonts w:ascii="Times New Roman" w:hAnsi="Times New Roman" w:cs="Times New Roman"/>
        </w:rPr>
        <w:t xml:space="preserve">(input multipliers) </w:t>
      </w:r>
      <w:r w:rsidR="00232C18">
        <w:rPr>
          <w:rFonts w:ascii="Times New Roman" w:hAnsi="Times New Roman" w:cs="Times New Roman"/>
        </w:rPr>
        <w:t>and</w:t>
      </w:r>
      <w:r w:rsidR="00EB6079">
        <w:rPr>
          <w:rFonts w:ascii="Times New Roman" w:hAnsi="Times New Roman" w:cs="Times New Roman"/>
        </w:rPr>
        <w:t xml:space="preserve"> </w:t>
      </w:r>
      <m:oMath>
        <m:r>
          <w:rPr>
            <w:rFonts w:ascii="Cambria Math" w:hAnsi="Cambria Math" w:cs="Times New Roman"/>
          </w:rPr>
          <m:t>r=1,…,M</m:t>
        </m:r>
      </m:oMath>
      <w:r w:rsidR="00232C18">
        <w:rPr>
          <w:rFonts w:ascii="Times New Roman" w:hAnsi="Times New Roman" w:cs="Times New Roman"/>
        </w:rPr>
        <w:t xml:space="preserve"> is used to index inputs</w:t>
      </w:r>
      <w:r>
        <w:rPr>
          <w:rFonts w:ascii="Times New Roman" w:hAnsi="Times New Roman" w:cs="Times New Roman"/>
        </w:rPr>
        <w:t xml:space="preserve">.  However, in the case of the </w:t>
      </w:r>
      <w:proofErr w:type="spellStart"/>
      <w:r>
        <w:rPr>
          <w:rFonts w:ascii="Times New Roman" w:hAnsi="Times New Roman" w:cs="Times New Roman"/>
        </w:rPr>
        <w:t>BoD</w:t>
      </w:r>
      <w:proofErr w:type="spellEnd"/>
      <w:r>
        <w:rPr>
          <w:rFonts w:ascii="Times New Roman" w:hAnsi="Times New Roman" w:cs="Times New Roman"/>
        </w:rPr>
        <w:t xml:space="preserve"> model, there is only</w:t>
      </w:r>
      <w:r w:rsidR="00232C18">
        <w:rPr>
          <w:rFonts w:ascii="Times New Roman" w:hAnsi="Times New Roman" w:cs="Times New Roman"/>
        </w:rPr>
        <w:t xml:space="preserve"> one input (r</w:t>
      </w:r>
      <w:r>
        <w:rPr>
          <w:rFonts w:ascii="Times New Roman" w:hAnsi="Times New Roman" w:cs="Times New Roman"/>
        </w:rPr>
        <w:t>=1) and in addition</w:t>
      </w:r>
      <w:r w:rsidR="002C24D7">
        <w:rPr>
          <w:rFonts w:ascii="Times New Roman" w:hAnsi="Times New Roman" w:cs="Times New Roman"/>
        </w:rPr>
        <w:t>,</w:t>
      </w:r>
      <w:r>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1</m:t>
            </m:r>
          </m:sub>
          <m:sup>
            <m:r>
              <w:rPr>
                <w:rFonts w:ascii="Cambria Math" w:hAnsi="Cambria Math" w:cs="Times New Roman"/>
              </w:rPr>
              <m:t>j</m:t>
            </m:r>
          </m:sup>
        </m:sSubSup>
        <m:r>
          <w:rPr>
            <w:rFonts w:ascii="Cambria Math" w:hAnsi="Cambria Math" w:cs="Times New Roman"/>
          </w:rPr>
          <m:t>=1</m:t>
        </m:r>
      </m:oMath>
      <w:r>
        <w:rPr>
          <w:rFonts w:ascii="Times New Roman" w:hAnsi="Times New Roman" w:cs="Times New Roman"/>
        </w:rPr>
        <w:t xml:space="preserve"> </w:t>
      </w:r>
      <w:r w:rsidR="005B30A7">
        <w:rPr>
          <w:rFonts w:ascii="Times New Roman" w:hAnsi="Times New Roman" w:cs="Times New Roman"/>
        </w:rPr>
        <w:t>for all DMUs</w:t>
      </w:r>
      <w:r w:rsidR="00232C18">
        <w:rPr>
          <w:rFonts w:ascii="Times New Roman" w:hAnsi="Times New Roman" w:cs="Times New Roman"/>
        </w:rPr>
        <w:t xml:space="preserve"> (</w:t>
      </w:r>
      <m:oMath>
        <m:r>
          <w:rPr>
            <w:rFonts w:ascii="Cambria Math" w:hAnsi="Cambria Math" w:cs="Times New Roman"/>
          </w:rPr>
          <m:t>j=</m:t>
        </m:r>
        <w:proofErr w:type="gramStart"/>
        <m:r>
          <w:rPr>
            <w:rFonts w:ascii="Cambria Math" w:hAnsi="Cambria Math" w:cs="Times New Roman"/>
          </w:rPr>
          <m:t>1,…,K</m:t>
        </m:r>
      </m:oMath>
      <w:proofErr w:type="gramEnd"/>
      <w:r w:rsidR="00232C18">
        <w:rPr>
          <w:rFonts w:ascii="Times New Roman" w:hAnsi="Times New Roman" w:cs="Times New Roman"/>
        </w:rPr>
        <w:t>).</w:t>
      </w:r>
      <w:r w:rsidR="002829B0">
        <w:rPr>
          <w:rFonts w:ascii="Times New Roman" w:hAnsi="Times New Roman" w:cs="Times New Roman"/>
        </w:rPr>
        <w:t xml:space="preserve">  This implies that </w:t>
      </w: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1</m:t>
            </m:r>
          </m:sub>
          <m:sup>
            <m:r>
              <w:rPr>
                <w:rFonts w:ascii="Cambria Math" w:hAnsi="Cambria Math" w:cs="Times New Roman"/>
              </w:rPr>
              <m:t>j</m:t>
            </m:r>
          </m:sup>
        </m:sSubSup>
        <m:r>
          <w:rPr>
            <w:rFonts w:ascii="Cambria Math" w:hAnsi="Cambria Math" w:cs="Times New Roman"/>
          </w:rPr>
          <m:t>=1</m:t>
        </m:r>
      </m:oMath>
      <w:r w:rsidR="002829B0">
        <w:rPr>
          <w:rFonts w:ascii="Times New Roman" w:hAnsi="Times New Roman" w:cs="Times New Roman"/>
        </w:rPr>
        <w:t xml:space="preserve"> </w:t>
      </w:r>
      <w:r w:rsidR="00232C18">
        <w:rPr>
          <w:rFonts w:ascii="Times New Roman" w:hAnsi="Times New Roman" w:cs="Times New Roman"/>
        </w:rPr>
        <w:t xml:space="preserve">for all </w:t>
      </w:r>
      <m:oMath>
        <m:r>
          <w:rPr>
            <w:rFonts w:ascii="Cambria Math" w:hAnsi="Cambria Math" w:cs="Times New Roman"/>
          </w:rPr>
          <m:t>j=</m:t>
        </m:r>
        <w:proofErr w:type="gramStart"/>
        <m:r>
          <w:rPr>
            <w:rFonts w:ascii="Cambria Math" w:hAnsi="Cambria Math" w:cs="Times New Roman"/>
          </w:rPr>
          <m:t>1,…,K</m:t>
        </m:r>
      </m:oMath>
      <w:proofErr w:type="gramEnd"/>
      <w:r w:rsidR="00232C18">
        <w:rPr>
          <w:rFonts w:ascii="Times New Roman" w:hAnsi="Times New Roman" w:cs="Times New Roman"/>
        </w:rPr>
        <w:t xml:space="preserve"> </w:t>
      </w:r>
      <w:r w:rsidR="002829B0">
        <w:rPr>
          <w:rFonts w:ascii="Times New Roman" w:hAnsi="Times New Roman" w:cs="Times New Roman"/>
        </w:rPr>
        <w:t xml:space="preserve">and </w:t>
      </w:r>
      <m:oMath>
        <m:nary>
          <m:naryPr>
            <m:chr m:val="∑"/>
            <m:limLoc m:val="undOvr"/>
            <m:subHide m:val="1"/>
            <m:supHide m:val="1"/>
            <m:ctrlPr>
              <w:rPr>
                <w:rFonts w:ascii="Cambria Math" w:hAnsi="Cambria Math" w:cs="Times New Roman"/>
                <w:i/>
              </w:rPr>
            </m:ctrlPr>
          </m:naryPr>
          <m:sub/>
          <m:sup/>
          <m:e>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r</m:t>
                </m:r>
              </m:sub>
              <m:sup>
                <m:r>
                  <w:rPr>
                    <w:rFonts w:ascii="Cambria Math" w:hAnsi="Cambria Math" w:cs="Times New Roman"/>
                  </w:rPr>
                  <m:t>k</m:t>
                </m:r>
              </m:sup>
            </m:sSubSup>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r</m:t>
                </m:r>
              </m:sub>
              <m:sup>
                <m:r>
                  <w:rPr>
                    <w:rFonts w:ascii="Cambria Math" w:hAnsi="Cambria Math" w:cs="Times New Roman"/>
                  </w:rPr>
                  <m:t>k</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r</m:t>
                </m:r>
              </m:sub>
              <m:sup>
                <m:r>
                  <w:rPr>
                    <w:rFonts w:ascii="Cambria Math" w:hAnsi="Cambria Math" w:cs="Times New Roman"/>
                  </w:rPr>
                  <m:t>k</m:t>
                </m:r>
              </m:sup>
            </m:sSubSup>
            <m:r>
              <w:rPr>
                <w:rFonts w:ascii="Cambria Math" w:hAnsi="Cambria Math" w:cs="Times New Roman"/>
              </w:rPr>
              <m:t>=1</m:t>
            </m:r>
          </m:e>
        </m:nary>
      </m:oMath>
      <w:r w:rsidR="00232C18">
        <w:rPr>
          <w:rFonts w:ascii="Times New Roman" w:hAnsi="Times New Roman" w:cs="Times New Roman"/>
        </w:rPr>
        <w:t xml:space="preserve"> for every DMU</w:t>
      </w:r>
      <w:r w:rsidR="002839B1">
        <w:rPr>
          <w:rFonts w:ascii="Times New Roman" w:hAnsi="Times New Roman" w:cs="Times New Roman"/>
        </w:rPr>
        <w:t>.  Under these circumstances</w:t>
      </w:r>
      <w:r w:rsidR="002829B0">
        <w:rPr>
          <w:rFonts w:ascii="Times New Roman" w:hAnsi="Times New Roman" w:cs="Times New Roman"/>
        </w:rPr>
        <w:t xml:space="preserve"> (2) </w:t>
      </w:r>
      <w:r w:rsidR="002839B1">
        <w:rPr>
          <w:rFonts w:ascii="Times New Roman" w:hAnsi="Times New Roman" w:cs="Times New Roman"/>
        </w:rPr>
        <w:t>is reduced</w:t>
      </w:r>
      <w:r w:rsidR="002829B0">
        <w:rPr>
          <w:rFonts w:ascii="Times New Roman" w:hAnsi="Times New Roman" w:cs="Times New Roman"/>
        </w:rPr>
        <w:t xml:space="preserve"> to (1).</w:t>
      </w:r>
      <w:r w:rsidR="0006759E">
        <w:rPr>
          <w:rFonts w:ascii="Times New Roman" w:hAnsi="Times New Roman" w:cs="Times New Roman"/>
        </w:rPr>
        <w:t xml:space="preserve">  </w:t>
      </w:r>
      <w:r w:rsidR="002C24D7">
        <w:rPr>
          <w:rFonts w:ascii="Times New Roman" w:hAnsi="Times New Roman" w:cs="Times New Roman"/>
        </w:rPr>
        <w:t xml:space="preserve">On the other hand, the </w:t>
      </w:r>
      <w:r w:rsidR="00254103">
        <w:rPr>
          <w:rFonts w:ascii="Times New Roman" w:hAnsi="Times New Roman" w:cs="Times New Roman"/>
        </w:rPr>
        <w:t xml:space="preserve">envelopment form of the </w:t>
      </w:r>
      <w:proofErr w:type="spellStart"/>
      <w:r w:rsidR="00254103">
        <w:rPr>
          <w:rFonts w:ascii="Times New Roman" w:hAnsi="Times New Roman" w:cs="Times New Roman"/>
        </w:rPr>
        <w:t>Charnes</w:t>
      </w:r>
      <w:proofErr w:type="spellEnd"/>
      <w:r w:rsidR="00254103">
        <w:rPr>
          <w:rFonts w:ascii="Times New Roman" w:hAnsi="Times New Roman" w:cs="Times New Roman"/>
        </w:rPr>
        <w:t>, Cooper and Rhodes</w:t>
      </w:r>
      <w:r w:rsidR="005B30A7">
        <w:rPr>
          <w:rFonts w:ascii="Times New Roman" w:hAnsi="Times New Roman" w:cs="Times New Roman"/>
        </w:rPr>
        <w:t xml:space="preserve"> (1978) input-</w:t>
      </w:r>
      <w:r w:rsidR="002839B1">
        <w:rPr>
          <w:rFonts w:ascii="Times New Roman" w:hAnsi="Times New Roman" w:cs="Times New Roman"/>
        </w:rPr>
        <w:t>o</w:t>
      </w:r>
      <w:r w:rsidR="004F42E1">
        <w:rPr>
          <w:rFonts w:ascii="Times New Roman" w:hAnsi="Times New Roman" w:cs="Times New Roman"/>
        </w:rPr>
        <w:t>riented CRS DEA model is given</w:t>
      </w:r>
      <w:r w:rsidR="002829B0">
        <w:rPr>
          <w:rFonts w:ascii="Times New Roman" w:hAnsi="Times New Roman" w:cs="Times New Roman"/>
        </w:rPr>
        <w:t xml:space="preserve"> as:</w:t>
      </w:r>
      <w:r w:rsidR="00701A3B">
        <w:rPr>
          <w:rStyle w:val="EndnoteReference"/>
          <w:rFonts w:ascii="Times New Roman" w:hAnsi="Times New Roman" w:cs="Times New Roman"/>
        </w:rPr>
        <w:endnoteReference w:id="4"/>
      </w:r>
    </w:p>
    <w:p w14:paraId="1F87CDAC" w14:textId="77777777" w:rsidR="002829B0" w:rsidRDefault="002829B0" w:rsidP="005A69C6">
      <w:pPr>
        <w:jc w:val="both"/>
        <w:rPr>
          <w:rFonts w:ascii="Times New Roman" w:hAnsi="Times New Roman" w:cs="Times New Roman"/>
        </w:rPr>
      </w:pPr>
    </w:p>
    <w:p w14:paraId="225EA047" w14:textId="51069923" w:rsidR="00860ACD" w:rsidRPr="00B31F0A" w:rsidRDefault="00B31F0A" w:rsidP="0015064F">
      <w:pPr>
        <w:jc w:val="both"/>
        <w:rPr>
          <w:rFonts w:ascii="Times New Roman" w:hAnsi="Times New Roman" w:cs="Times New Roman"/>
        </w:rPr>
      </w:pPr>
      <m:oMathPara>
        <m:oMathParaPr>
          <m:jc m:val="left"/>
        </m:oMathParaPr>
        <m:oMath>
          <m:r>
            <w:rPr>
              <w:rFonts w:ascii="Cambria Math" w:hAnsi="Cambria Math" w:cs="Times New Roman"/>
            </w:rPr>
            <m:t xml:space="preserve">                                                  </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min</m:t>
                  </m:r>
                </m:e>
                <m:lim>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j</m:t>
                      </m:r>
                    </m:sub>
                    <m:sup>
                      <m:r>
                        <w:rPr>
                          <w:rFonts w:ascii="Cambria Math" w:hAnsi="Cambria Math" w:cs="Times New Roman"/>
                        </w:rPr>
                        <m:t>k</m:t>
                      </m:r>
                    </m:sup>
                  </m:sSubSup>
                </m:lim>
              </m:limLow>
            </m:fName>
            <m:e>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k</m:t>
                  </m:r>
                </m:sup>
              </m:sSup>
            </m:e>
          </m:func>
        </m:oMath>
      </m:oMathPara>
    </w:p>
    <w:p w14:paraId="2B5E5F96" w14:textId="5A8B3CCA" w:rsidR="00B31F0A" w:rsidRPr="00B31F0A" w:rsidRDefault="00B31F0A" w:rsidP="005A69C6">
      <w:pPr>
        <w:spacing w:line="360" w:lineRule="auto"/>
        <w:jc w:val="both"/>
        <w:rPr>
          <w:rFonts w:ascii="Times New Roman" w:hAnsi="Times New Roman" w:cs="Times New Roman"/>
        </w:rPr>
      </w:pPr>
      <m:oMathPara>
        <m:oMath>
          <m:r>
            <w:rPr>
              <w:rFonts w:ascii="Cambria Math" w:hAnsi="Cambria Math" w:cs="Times New Roman"/>
            </w:rPr>
            <m:t xml:space="preserve">                                                 s.t. -</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K</m:t>
              </m:r>
            </m:sup>
            <m:e>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j</m:t>
                  </m:r>
                </m:sub>
                <m:sup>
                  <m:r>
                    <w:rPr>
                      <w:rFonts w:ascii="Cambria Math" w:hAnsi="Cambria Math" w:cs="Times New Roman"/>
                    </w:rPr>
                    <m:t>k</m:t>
                  </m:r>
                </m:sup>
              </m:sSubSup>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r</m:t>
                  </m:r>
                </m:sub>
                <m:sup>
                  <m:r>
                    <w:rPr>
                      <w:rFonts w:ascii="Cambria Math" w:hAnsi="Cambria Math" w:cs="Times New Roman"/>
                    </w:rPr>
                    <m:t>j</m:t>
                  </m:r>
                </m:sup>
              </m:sSubSup>
            </m:e>
          </m:nary>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k</m:t>
              </m:r>
            </m:sup>
          </m:sSup>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r</m:t>
              </m:r>
            </m:sub>
            <m:sup>
              <m:r>
                <w:rPr>
                  <w:rFonts w:ascii="Cambria Math" w:hAnsi="Cambria Math" w:cs="Times New Roman"/>
                </w:rPr>
                <m:t>k</m:t>
              </m:r>
            </m:sup>
          </m:sSubSup>
          <m:r>
            <w:rPr>
              <w:rFonts w:ascii="Cambria Math" w:hAnsi="Cambria Math" w:cs="Times New Roman"/>
            </w:rPr>
            <m:t>≥0  ∀  r=1,…,M                   (3)</m:t>
          </m:r>
        </m:oMath>
      </m:oMathPara>
    </w:p>
    <w:p w14:paraId="673AAA77" w14:textId="725DEC18" w:rsidR="00B31F0A" w:rsidRPr="00B31F0A" w:rsidRDefault="005A69C6" w:rsidP="005A69C6">
      <w:pPr>
        <w:spacing w:line="360" w:lineRule="auto"/>
        <w:jc w:val="both"/>
        <w:rPr>
          <w:rFonts w:ascii="Times New Roman" w:hAnsi="Times New Roman" w:cs="Times New Roman"/>
        </w:rPr>
      </w:pPr>
      <m:oMathPara>
        <m:oMath>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K</m:t>
              </m:r>
            </m:sup>
            <m:e>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j</m:t>
                  </m:r>
                </m:sub>
                <m:sup>
                  <m:r>
                    <w:rPr>
                      <w:rFonts w:ascii="Cambria Math" w:hAnsi="Cambria Math" w:cs="Times New Roman"/>
                    </w:rPr>
                    <m:t>k</m:t>
                  </m:r>
                </m:sup>
              </m:sSubSup>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i</m:t>
                  </m:r>
                </m:sub>
                <m:sup>
                  <m:r>
                    <w:rPr>
                      <w:rFonts w:ascii="Cambria Math" w:hAnsi="Cambria Math" w:cs="Times New Roman"/>
                    </w:rPr>
                    <m:t>j</m:t>
                  </m:r>
                </m:sup>
              </m:sSubSup>
            </m:e>
          </m:nary>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i</m:t>
              </m:r>
            </m:sub>
            <m:sup>
              <m:r>
                <w:rPr>
                  <w:rFonts w:ascii="Cambria Math" w:hAnsi="Cambria Math" w:cs="Times New Roman"/>
                </w:rPr>
                <m:t>k</m:t>
              </m:r>
            </m:sup>
          </m:sSubSup>
          <m:r>
            <w:rPr>
              <w:rFonts w:ascii="Cambria Math" w:hAnsi="Cambria Math" w:cs="Times New Roman"/>
            </w:rPr>
            <m:t xml:space="preserve">               ∀  i=1,…,N</m:t>
          </m:r>
        </m:oMath>
      </m:oMathPara>
    </w:p>
    <w:p w14:paraId="53A426C5" w14:textId="18374B42" w:rsidR="00B31F0A" w:rsidRDefault="005A69C6" w:rsidP="005A69C6">
      <w:pPr>
        <w:spacing w:line="360" w:lineRule="auto"/>
        <w:jc w:val="both"/>
        <w:rPr>
          <w:rFonts w:ascii="Times New Roman" w:hAnsi="Times New Roman" w:cs="Times New Roman"/>
        </w:rPr>
      </w:pPr>
      <m:oMathPara>
        <m:oMath>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j</m:t>
              </m:r>
            </m:sub>
            <m:sup>
              <m:r>
                <w:rPr>
                  <w:rFonts w:ascii="Cambria Math" w:hAnsi="Cambria Math" w:cs="Times New Roman"/>
                </w:rPr>
                <m:t>k</m:t>
              </m:r>
            </m:sup>
          </m:sSubSup>
          <m:r>
            <w:rPr>
              <w:rFonts w:ascii="Cambria Math" w:hAnsi="Cambria Math" w:cs="Times New Roman"/>
            </w:rPr>
            <m:t>≥0                          ∀  j=1,…,K</m:t>
          </m:r>
        </m:oMath>
      </m:oMathPara>
    </w:p>
    <w:p w14:paraId="23378A4D" w14:textId="77777777" w:rsidR="00860ACD" w:rsidRDefault="00860ACD" w:rsidP="005A69C6">
      <w:pPr>
        <w:jc w:val="both"/>
        <w:rPr>
          <w:rFonts w:ascii="Times New Roman" w:hAnsi="Times New Roman" w:cs="Times New Roman"/>
        </w:rPr>
      </w:pPr>
    </w:p>
    <w:p w14:paraId="25182506" w14:textId="77E8E2CA" w:rsidR="005A69C6" w:rsidRDefault="005A69C6" w:rsidP="002E2D9A">
      <w:pPr>
        <w:spacing w:line="360" w:lineRule="auto"/>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m:oMath>
        <m:r>
          <w:rPr>
            <w:rFonts w:ascii="Cambria Math" w:hAnsi="Cambria Math" w:cs="Times New Roman"/>
          </w:rPr>
          <m:t>λ</m:t>
        </m:r>
      </m:oMath>
      <w:r w:rsidR="002E2D9A">
        <w:rPr>
          <w:rFonts w:ascii="Times New Roman" w:hAnsi="Times New Roman" w:cs="Times New Roman"/>
        </w:rPr>
        <w:t xml:space="preserve"> </w:t>
      </w:r>
      <w:r>
        <w:rPr>
          <w:rFonts w:ascii="Times New Roman" w:hAnsi="Times New Roman" w:cs="Times New Roman"/>
        </w:rPr>
        <w:t xml:space="preserve">refers to </w:t>
      </w:r>
      <w:r w:rsidRPr="00FE10DB">
        <w:rPr>
          <w:rFonts w:ascii="Times New Roman" w:hAnsi="Times New Roman" w:cs="Times New Roman"/>
        </w:rPr>
        <w:t>inten</w:t>
      </w:r>
      <w:r w:rsidR="005B30A7" w:rsidRPr="00FE10DB">
        <w:rPr>
          <w:rFonts w:ascii="Times New Roman" w:hAnsi="Times New Roman" w:cs="Times New Roman"/>
        </w:rPr>
        <w:t>sity</w:t>
      </w:r>
      <w:r w:rsidR="005B30A7">
        <w:rPr>
          <w:rFonts w:ascii="Times New Roman" w:hAnsi="Times New Roman" w:cs="Times New Roman"/>
        </w:rPr>
        <w:t xml:space="preserve"> variables.  For</w:t>
      </w:r>
      <w:r>
        <w:rPr>
          <w:rFonts w:ascii="Times New Roman" w:hAnsi="Times New Roman" w:cs="Times New Roman"/>
        </w:rPr>
        <w:t xml:space="preserve"> the </w:t>
      </w:r>
      <w:proofErr w:type="spellStart"/>
      <w:r>
        <w:rPr>
          <w:rFonts w:ascii="Times New Roman" w:hAnsi="Times New Roman" w:cs="Times New Roman"/>
        </w:rPr>
        <w:t>BoD</w:t>
      </w:r>
      <w:proofErr w:type="spellEnd"/>
      <w:r>
        <w:rPr>
          <w:rFonts w:ascii="Times New Roman" w:hAnsi="Times New Roman" w:cs="Times New Roman"/>
        </w:rPr>
        <w:t xml:space="preserve"> model where </w:t>
      </w:r>
      <w:r w:rsidR="00232C18">
        <w:rPr>
          <w:rFonts w:ascii="Times New Roman" w:hAnsi="Times New Roman" w:cs="Times New Roman"/>
        </w:rPr>
        <w:t xml:space="preserve">r=1 and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1</m:t>
            </m:r>
          </m:sub>
          <m:sup>
            <m:r>
              <w:rPr>
                <w:rFonts w:ascii="Cambria Math" w:hAnsi="Cambria Math" w:cs="Times New Roman"/>
              </w:rPr>
              <m:t>j</m:t>
            </m:r>
          </m:sup>
        </m:sSubSup>
        <m:r>
          <w:rPr>
            <w:rFonts w:ascii="Cambria Math" w:hAnsi="Cambria Math" w:cs="Times New Roman"/>
          </w:rPr>
          <m:t>=1</m:t>
        </m:r>
      </m:oMath>
      <w:r w:rsidR="00232C18">
        <w:rPr>
          <w:rFonts w:ascii="Times New Roman" w:hAnsi="Times New Roman" w:cs="Times New Roman"/>
        </w:rPr>
        <w:t xml:space="preserve"> for all DMUs</w:t>
      </w:r>
      <w:r w:rsidR="005B30A7">
        <w:rPr>
          <w:rFonts w:ascii="Times New Roman" w:hAnsi="Times New Roman" w:cs="Times New Roman"/>
        </w:rPr>
        <w:t>, (3)</w:t>
      </w:r>
      <w:r w:rsidR="002C24D7">
        <w:rPr>
          <w:rFonts w:ascii="Times New Roman" w:hAnsi="Times New Roman" w:cs="Times New Roman"/>
        </w:rPr>
        <w:t xml:space="preserve"> simplifies</w:t>
      </w:r>
      <w:r>
        <w:rPr>
          <w:rFonts w:ascii="Times New Roman" w:hAnsi="Times New Roman" w:cs="Times New Roman"/>
        </w:rPr>
        <w:t xml:space="preserve"> to:</w:t>
      </w:r>
    </w:p>
    <w:p w14:paraId="024EFDFE" w14:textId="77777777" w:rsidR="005A69C6" w:rsidRDefault="005A69C6" w:rsidP="00701A3B">
      <w:pPr>
        <w:jc w:val="both"/>
        <w:rPr>
          <w:rFonts w:ascii="Times New Roman" w:hAnsi="Times New Roman" w:cs="Times New Roman"/>
        </w:rPr>
      </w:pPr>
    </w:p>
    <w:p w14:paraId="63BA3FAA" w14:textId="77777777" w:rsidR="005B1B67" w:rsidRPr="007D4468" w:rsidRDefault="00DA0907" w:rsidP="005B1B67">
      <w:pPr>
        <w:spacing w:line="360" w:lineRule="auto"/>
        <w:ind w:left="2552"/>
      </w:pPr>
      <m:oMathPara>
        <m:oMathParaPr>
          <m:jc m:val="left"/>
        </m:oMathParaPr>
        <m:oMath>
          <m:sSup>
            <m:sSupPr>
              <m:ctrlPr>
                <w:rPr>
                  <w:rFonts w:ascii="Cambria Math" w:hAnsi="Cambria Math"/>
                  <w:i/>
                </w:rPr>
              </m:ctrlPr>
            </m:sSupPr>
            <m:e>
              <m:r>
                <w:rPr>
                  <w:rFonts w:ascii="Cambria Math" w:hAnsi="Cambria Math"/>
                </w:rPr>
                <m:t>I</m:t>
              </m:r>
            </m:e>
            <m:sup>
              <m:r>
                <w:rPr>
                  <w:rFonts w:ascii="Cambria Math" w:hAnsi="Cambria Math"/>
                </w:rPr>
                <m:t>k</m:t>
              </m:r>
            </m:sup>
          </m:s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sSubSup>
                    <m:sSubSupPr>
                      <m:ctrlPr>
                        <w:rPr>
                          <w:rFonts w:ascii="Cambria Math" w:hAnsi="Cambria Math"/>
                          <w:i/>
                        </w:rPr>
                      </m:ctrlPr>
                    </m:sSubSupPr>
                    <m:e>
                      <m:r>
                        <w:rPr>
                          <w:rFonts w:ascii="Cambria Math" w:hAnsi="Cambria Math"/>
                        </w:rPr>
                        <m:t>λ</m:t>
                      </m:r>
                    </m:e>
                    <m:sub>
                      <m:r>
                        <w:rPr>
                          <w:rFonts w:ascii="Cambria Math" w:hAnsi="Cambria Math"/>
                        </w:rPr>
                        <m:t>j</m:t>
                      </m:r>
                    </m:sub>
                    <m:sup>
                      <m:r>
                        <w:rPr>
                          <w:rFonts w:ascii="Cambria Math" w:hAnsi="Cambria Math"/>
                        </w:rPr>
                        <m:t>k</m:t>
                      </m:r>
                    </m:sup>
                  </m:sSubSup>
                </m:lim>
              </m:limLow>
            </m:fName>
            <m:e>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Sup>
                    <m:sSubSupPr>
                      <m:ctrlPr>
                        <w:rPr>
                          <w:rFonts w:ascii="Cambria Math" w:hAnsi="Cambria Math"/>
                          <w:i/>
                        </w:rPr>
                      </m:ctrlPr>
                    </m:sSubSupPr>
                    <m:e>
                      <m:r>
                        <w:rPr>
                          <w:rFonts w:ascii="Cambria Math" w:hAnsi="Cambria Math"/>
                        </w:rPr>
                        <m:t>λ</m:t>
                      </m:r>
                    </m:e>
                    <m:sub>
                      <m:r>
                        <w:rPr>
                          <w:rFonts w:ascii="Cambria Math" w:hAnsi="Cambria Math"/>
                        </w:rPr>
                        <m:t>j</m:t>
                      </m:r>
                    </m:sub>
                    <m:sup>
                      <m:r>
                        <w:rPr>
                          <w:rFonts w:ascii="Cambria Math" w:hAnsi="Cambria Math"/>
                        </w:rPr>
                        <m:t>k</m:t>
                      </m:r>
                    </m:sup>
                  </m:sSubSup>
                  <m:sSup>
                    <m:sSupPr>
                      <m:ctrlPr>
                        <w:rPr>
                          <w:rFonts w:ascii="Cambria Math" w:hAnsi="Cambria Math"/>
                          <w:i/>
                        </w:rPr>
                      </m:ctrlPr>
                    </m:sSupPr>
                    <m:e>
                      <m:r>
                        <w:rPr>
                          <w:rFonts w:ascii="Cambria Math" w:hAnsi="Cambria Math"/>
                        </w:rPr>
                        <m:t>1</m:t>
                      </m:r>
                    </m:e>
                    <m:sup>
                      <m:r>
                        <w:rPr>
                          <w:rFonts w:ascii="Cambria Math" w:hAnsi="Cambria Math"/>
                        </w:rPr>
                        <m:t>j</m:t>
                      </m:r>
                    </m:sup>
                  </m:sSup>
                </m:e>
              </m:nary>
            </m:e>
          </m:func>
        </m:oMath>
      </m:oMathPara>
    </w:p>
    <w:p w14:paraId="7B293F49" w14:textId="4AB74E01" w:rsidR="005B1B67" w:rsidRPr="007D4468" w:rsidRDefault="005B1B67" w:rsidP="005B1B67">
      <w:pPr>
        <w:spacing w:line="360" w:lineRule="auto"/>
        <w:ind w:left="2552"/>
      </w:pPr>
      <m:oMathPara>
        <m:oMathParaPr>
          <m:jc m:val="left"/>
        </m:oMathParaPr>
        <m:oMath>
          <m:r>
            <w:rPr>
              <w:rFonts w:ascii="Cambria Math" w:hAnsi="Cambria Math"/>
            </w:rPr>
            <m:t xml:space="preserve">             st</m:t>
          </m:r>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Sup>
                <m:sSubSupPr>
                  <m:ctrlPr>
                    <w:rPr>
                      <w:rFonts w:ascii="Cambria Math" w:hAnsi="Cambria Math"/>
                      <w:i/>
                    </w:rPr>
                  </m:ctrlPr>
                </m:sSubSupPr>
                <m:e>
                  <m:r>
                    <w:rPr>
                      <w:rFonts w:ascii="Cambria Math" w:hAnsi="Cambria Math"/>
                    </w:rPr>
                    <m:t>λ</m:t>
                  </m:r>
                </m:e>
                <m:sub>
                  <m:r>
                    <w:rPr>
                      <w:rFonts w:ascii="Cambria Math" w:hAnsi="Cambria Math"/>
                    </w:rPr>
                    <m:t>j</m:t>
                  </m:r>
                </m:sub>
                <m:sup>
                  <m:r>
                    <w:rPr>
                      <w:rFonts w:ascii="Cambria Math" w:hAnsi="Cambria Math"/>
                    </w:rPr>
                    <m:t>k</m:t>
                  </m:r>
                </m:sup>
              </m:sSubSup>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j</m:t>
                  </m:r>
                </m:sup>
              </m:sSubSup>
            </m:e>
          </m:nary>
          <m:r>
            <w:rPr>
              <w:rFonts w:ascii="Cambria Math" w:hAnsi="Cambria Math"/>
            </w:rPr>
            <m:t>≥</m:t>
          </m:r>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k</m:t>
              </m:r>
            </m:sup>
          </m:sSubSup>
          <m:r>
            <w:rPr>
              <w:rFonts w:ascii="Cambria Math" w:hAnsi="Cambria Math"/>
            </w:rPr>
            <m:t xml:space="preserve">              ∀ i=1,…,N                   (4) </m:t>
          </m:r>
        </m:oMath>
      </m:oMathPara>
    </w:p>
    <w:p w14:paraId="786DCE40" w14:textId="677A8BDB" w:rsidR="005B1B67" w:rsidRPr="007D4468" w:rsidRDefault="005B1B67" w:rsidP="005B1B67">
      <w:pPr>
        <w:spacing w:line="360" w:lineRule="auto"/>
        <w:ind w:left="2552"/>
      </w:pPr>
      <m:oMathPara>
        <m:oMathParaPr>
          <m:jc m:val="left"/>
        </m:oMathParaPr>
        <m:oMath>
          <m:r>
            <w:rPr>
              <w:rFonts w:ascii="Cambria Math" w:hAnsi="Cambria Math"/>
            </w:rPr>
            <m:t xml:space="preserve">                  </m:t>
          </m:r>
          <m:sSubSup>
            <m:sSubSupPr>
              <m:ctrlPr>
                <w:rPr>
                  <w:rFonts w:ascii="Cambria Math" w:hAnsi="Cambria Math"/>
                  <w:i/>
                </w:rPr>
              </m:ctrlPr>
            </m:sSubSupPr>
            <m:e>
              <m:r>
                <w:rPr>
                  <w:rFonts w:ascii="Cambria Math" w:hAnsi="Cambria Math"/>
                </w:rPr>
                <m:t>λ</m:t>
              </m:r>
            </m:e>
            <m:sub>
              <m:r>
                <w:rPr>
                  <w:rFonts w:ascii="Cambria Math" w:hAnsi="Cambria Math"/>
                </w:rPr>
                <m:t>j</m:t>
              </m:r>
            </m:sub>
            <m:sup>
              <m:r>
                <w:rPr>
                  <w:rFonts w:ascii="Cambria Math" w:hAnsi="Cambria Math"/>
                </w:rPr>
                <m:t>k</m:t>
              </m:r>
            </m:sup>
          </m:sSubSup>
          <m:r>
            <w:rPr>
              <w:rFonts w:ascii="Cambria Math" w:hAnsi="Cambria Math"/>
            </w:rPr>
            <m:t>≥0                          ∀ j=1,…,K</m:t>
          </m:r>
        </m:oMath>
      </m:oMathPara>
    </w:p>
    <w:p w14:paraId="2B72A27C" w14:textId="77777777" w:rsidR="005A69C6" w:rsidRDefault="005A69C6" w:rsidP="00701A3B">
      <w:pPr>
        <w:jc w:val="both"/>
        <w:rPr>
          <w:rFonts w:ascii="Times New Roman" w:hAnsi="Times New Roman" w:cs="Times New Roman"/>
        </w:rPr>
      </w:pPr>
    </w:p>
    <w:p w14:paraId="6F0548B6" w14:textId="23D9C5B3" w:rsidR="00596B32" w:rsidRDefault="00701A3B" w:rsidP="002E2D9A">
      <w:pPr>
        <w:spacing w:line="360" w:lineRule="auto"/>
        <w:jc w:val="both"/>
        <w:rPr>
          <w:rFonts w:ascii="Times New Roman" w:hAnsi="Times New Roman" w:cs="Times New Roman"/>
        </w:rPr>
      </w:pPr>
      <w:r>
        <w:rPr>
          <w:rFonts w:ascii="Times New Roman" w:hAnsi="Times New Roman" w:cs="Times New Roman"/>
        </w:rPr>
        <w:t xml:space="preserve">This implies that the value of the composite indicator is in fact equal to the sum of the </w:t>
      </w:r>
      <w:r w:rsidR="0006759E">
        <w:rPr>
          <w:rFonts w:ascii="Times New Roman" w:hAnsi="Times New Roman" w:cs="Times New Roman"/>
        </w:rPr>
        <w:t xml:space="preserve">estimated </w:t>
      </w:r>
      <w:r>
        <w:rPr>
          <w:rFonts w:ascii="Times New Roman" w:hAnsi="Times New Roman" w:cs="Times New Roman"/>
        </w:rPr>
        <w:t>intensity variables.</w:t>
      </w:r>
      <w:r w:rsidR="00F44F14">
        <w:rPr>
          <w:rStyle w:val="EndnoteReference"/>
          <w:rFonts w:ascii="Times New Roman" w:hAnsi="Times New Roman" w:cs="Times New Roman"/>
        </w:rPr>
        <w:endnoteReference w:id="5"/>
      </w:r>
      <w:r w:rsidR="00E30EA3">
        <w:rPr>
          <w:rFonts w:ascii="Times New Roman" w:hAnsi="Times New Roman" w:cs="Times New Roman"/>
        </w:rPr>
        <w:tab/>
      </w:r>
    </w:p>
    <w:p w14:paraId="432F7584" w14:textId="776F8C26" w:rsidR="00DE214D" w:rsidRDefault="0006759E" w:rsidP="0006759E">
      <w:pPr>
        <w:spacing w:line="360" w:lineRule="auto"/>
        <w:jc w:val="both"/>
        <w:rPr>
          <w:rFonts w:ascii="Times New Roman" w:hAnsi="Times New Roman" w:cs="Times New Roman"/>
        </w:rPr>
      </w:pPr>
      <w:r>
        <w:rPr>
          <w:rFonts w:ascii="Times New Roman" w:hAnsi="Times New Roman" w:cs="Times New Roman"/>
        </w:rPr>
        <w:tab/>
        <w:t>To derive</w:t>
      </w:r>
      <w:r w:rsidR="00C32D67">
        <w:rPr>
          <w:rFonts w:ascii="Times New Roman" w:hAnsi="Times New Roman" w:cs="Times New Roman"/>
        </w:rPr>
        <w:t xml:space="preserve"> </w:t>
      </w:r>
      <w:r w:rsidR="00E30EA3">
        <w:rPr>
          <w:rFonts w:ascii="Times New Roman" w:hAnsi="Times New Roman" w:cs="Times New Roman"/>
        </w:rPr>
        <w:t>a theoretically consistent aggregate composite indicat</w:t>
      </w:r>
      <w:r w:rsidR="00C32D67">
        <w:rPr>
          <w:rFonts w:ascii="Times New Roman" w:hAnsi="Times New Roman" w:cs="Times New Roman"/>
        </w:rPr>
        <w:t>or</w:t>
      </w:r>
      <w:r>
        <w:rPr>
          <w:rFonts w:ascii="Times New Roman" w:hAnsi="Times New Roman" w:cs="Times New Roman"/>
        </w:rPr>
        <w:t>,</w:t>
      </w:r>
      <w:r w:rsidR="00C32D67">
        <w:rPr>
          <w:rFonts w:ascii="Times New Roman" w:hAnsi="Times New Roman" w:cs="Times New Roman"/>
        </w:rPr>
        <w:t xml:space="preserve"> using the </w:t>
      </w:r>
      <w:proofErr w:type="spellStart"/>
      <w:r w:rsidR="00C32D67">
        <w:rPr>
          <w:rFonts w:ascii="Times New Roman" w:hAnsi="Times New Roman" w:cs="Times New Roman"/>
        </w:rPr>
        <w:t>BoD</w:t>
      </w:r>
      <w:proofErr w:type="spellEnd"/>
      <w:r w:rsidR="00C32D67">
        <w:rPr>
          <w:rFonts w:ascii="Times New Roman" w:hAnsi="Times New Roman" w:cs="Times New Roman"/>
        </w:rPr>
        <w:t xml:space="preserve"> model</w:t>
      </w:r>
      <w:r>
        <w:rPr>
          <w:rFonts w:ascii="Times New Roman" w:hAnsi="Times New Roman" w:cs="Times New Roman"/>
        </w:rPr>
        <w:t>,</w:t>
      </w:r>
      <w:r w:rsidR="00C32D67">
        <w:rPr>
          <w:rFonts w:ascii="Times New Roman" w:hAnsi="Times New Roman" w:cs="Times New Roman"/>
        </w:rPr>
        <w:t xml:space="preserve"> we rely</w:t>
      </w:r>
      <w:r w:rsidR="00926D19">
        <w:rPr>
          <w:rFonts w:ascii="Times New Roman" w:hAnsi="Times New Roman" w:cs="Times New Roman"/>
        </w:rPr>
        <w:t xml:space="preserve"> on </w:t>
      </w:r>
      <w:proofErr w:type="spellStart"/>
      <w:r w:rsidR="00FF2640" w:rsidRPr="000D0C3F">
        <w:rPr>
          <w:rFonts w:ascii="Times New Roman" w:hAnsi="Times New Roman" w:cs="Times New Roman"/>
        </w:rPr>
        <w:t>Färe</w:t>
      </w:r>
      <w:proofErr w:type="spellEnd"/>
      <w:r w:rsidR="00E30EA3">
        <w:rPr>
          <w:rFonts w:ascii="Times New Roman" w:hAnsi="Times New Roman" w:cs="Times New Roman"/>
        </w:rPr>
        <w:t xml:space="preserve"> and </w:t>
      </w:r>
      <w:proofErr w:type="spellStart"/>
      <w:r w:rsidR="00E30EA3">
        <w:rPr>
          <w:rFonts w:ascii="Times New Roman" w:hAnsi="Times New Roman" w:cs="Times New Roman"/>
        </w:rPr>
        <w:t>Zelenyuk</w:t>
      </w:r>
      <w:proofErr w:type="spellEnd"/>
      <w:r w:rsidR="00E30EA3">
        <w:rPr>
          <w:rFonts w:ascii="Times New Roman" w:hAnsi="Times New Roman" w:cs="Times New Roman"/>
        </w:rPr>
        <w:t xml:space="preserve"> (2003) and </w:t>
      </w:r>
      <w:proofErr w:type="spellStart"/>
      <w:r w:rsidR="00FF2640" w:rsidRPr="000D0C3F">
        <w:rPr>
          <w:rFonts w:ascii="Times New Roman" w:hAnsi="Times New Roman" w:cs="Times New Roman"/>
        </w:rPr>
        <w:t>Färe</w:t>
      </w:r>
      <w:proofErr w:type="spellEnd"/>
      <w:r w:rsidR="00E30EA3">
        <w:rPr>
          <w:rFonts w:ascii="Times New Roman" w:hAnsi="Times New Roman" w:cs="Times New Roman"/>
        </w:rPr>
        <w:t xml:space="preserve"> and </w:t>
      </w:r>
      <w:proofErr w:type="spellStart"/>
      <w:r w:rsidR="00E30EA3">
        <w:rPr>
          <w:rFonts w:ascii="Times New Roman" w:hAnsi="Times New Roman" w:cs="Times New Roman"/>
        </w:rPr>
        <w:t>Grosskopf</w:t>
      </w:r>
      <w:proofErr w:type="spellEnd"/>
      <w:r w:rsidR="00E30EA3">
        <w:rPr>
          <w:rFonts w:ascii="Times New Roman" w:hAnsi="Times New Roman" w:cs="Times New Roman"/>
        </w:rPr>
        <w:t xml:space="preserve"> (2004</w:t>
      </w:r>
      <w:r w:rsidR="00F44F14">
        <w:rPr>
          <w:rFonts w:ascii="Times New Roman" w:hAnsi="Times New Roman" w:cs="Times New Roman"/>
        </w:rPr>
        <w:t>, pp. 115-19</w:t>
      </w:r>
      <w:r w:rsidR="00E30EA3">
        <w:rPr>
          <w:rFonts w:ascii="Times New Roman" w:hAnsi="Times New Roman" w:cs="Times New Roman"/>
        </w:rPr>
        <w:t>)</w:t>
      </w:r>
      <w:r w:rsidR="00C32D67">
        <w:rPr>
          <w:rFonts w:ascii="Times New Roman" w:hAnsi="Times New Roman" w:cs="Times New Roman"/>
        </w:rPr>
        <w:t xml:space="preserve"> results for</w:t>
      </w:r>
      <w:r w:rsidR="00926D19">
        <w:rPr>
          <w:rFonts w:ascii="Times New Roman" w:hAnsi="Times New Roman" w:cs="Times New Roman"/>
        </w:rPr>
        <w:t xml:space="preserve"> aggregating radial efficiency indices</w:t>
      </w:r>
      <w:r w:rsidR="00A86578">
        <w:rPr>
          <w:rFonts w:ascii="Times New Roman" w:hAnsi="Times New Roman" w:cs="Times New Roman"/>
        </w:rPr>
        <w:t>, which for the case of a single input are similar to those of</w:t>
      </w:r>
      <w:r w:rsidR="00E30EA3">
        <w:rPr>
          <w:rFonts w:ascii="Times New Roman" w:hAnsi="Times New Roman" w:cs="Times New Roman"/>
        </w:rPr>
        <w:t xml:space="preserve"> </w:t>
      </w:r>
      <w:proofErr w:type="spellStart"/>
      <w:r w:rsidR="00E30EA3">
        <w:rPr>
          <w:rFonts w:ascii="Times New Roman" w:hAnsi="Times New Roman" w:cs="Times New Roman"/>
        </w:rPr>
        <w:t>Bjurek</w:t>
      </w:r>
      <w:proofErr w:type="spellEnd"/>
      <w:r w:rsidR="00E30EA3">
        <w:rPr>
          <w:rFonts w:ascii="Times New Roman" w:hAnsi="Times New Roman" w:cs="Times New Roman"/>
        </w:rPr>
        <w:t xml:space="preserve">, </w:t>
      </w:r>
      <w:proofErr w:type="spellStart"/>
      <w:r w:rsidR="00E30EA3">
        <w:rPr>
          <w:rFonts w:ascii="Times New Roman" w:hAnsi="Times New Roman" w:cs="Times New Roman"/>
        </w:rPr>
        <w:t>Hjalmarsson</w:t>
      </w:r>
      <w:proofErr w:type="spellEnd"/>
      <w:r w:rsidR="00E30EA3">
        <w:rPr>
          <w:rFonts w:ascii="Times New Roman" w:hAnsi="Times New Roman" w:cs="Times New Roman"/>
        </w:rPr>
        <w:t xml:space="preserve"> and </w:t>
      </w:r>
      <w:proofErr w:type="spellStart"/>
      <w:r w:rsidR="00FF2640" w:rsidRPr="008B5387">
        <w:rPr>
          <w:rFonts w:ascii="Times New Roman" w:hAnsi="Times New Roman" w:cs="Times New Roman"/>
        </w:rPr>
        <w:t>Førsund</w:t>
      </w:r>
      <w:proofErr w:type="spellEnd"/>
      <w:r w:rsidR="00E30EA3">
        <w:rPr>
          <w:rFonts w:ascii="Times New Roman" w:hAnsi="Times New Roman" w:cs="Times New Roman"/>
        </w:rPr>
        <w:t xml:space="preserve"> (1990).  </w:t>
      </w:r>
      <w:r w:rsidR="00036061">
        <w:rPr>
          <w:rFonts w:ascii="Times New Roman" w:hAnsi="Times New Roman" w:cs="Times New Roman"/>
        </w:rPr>
        <w:t>Their point of departure is Koopmans</w:t>
      </w:r>
      <w:r w:rsidR="00CE5285">
        <w:rPr>
          <w:rFonts w:ascii="Times New Roman" w:hAnsi="Times New Roman" w:cs="Times New Roman"/>
        </w:rPr>
        <w:t>’</w:t>
      </w:r>
      <w:r w:rsidR="00036061">
        <w:rPr>
          <w:rFonts w:ascii="Times New Roman" w:hAnsi="Times New Roman" w:cs="Times New Roman"/>
        </w:rPr>
        <w:t xml:space="preserve"> (1957) theorem and its cost and revenue corollaries (see </w:t>
      </w:r>
      <w:proofErr w:type="spellStart"/>
      <w:r w:rsidR="00036061" w:rsidRPr="000D0C3F">
        <w:rPr>
          <w:rFonts w:ascii="Times New Roman" w:hAnsi="Times New Roman" w:cs="Times New Roman"/>
        </w:rPr>
        <w:t>Färe</w:t>
      </w:r>
      <w:proofErr w:type="spellEnd"/>
      <w:r w:rsidR="00036061">
        <w:rPr>
          <w:rFonts w:ascii="Times New Roman" w:hAnsi="Times New Roman" w:cs="Times New Roman"/>
        </w:rPr>
        <w:t xml:space="preserve"> and </w:t>
      </w:r>
      <w:proofErr w:type="spellStart"/>
      <w:r w:rsidR="00036061">
        <w:rPr>
          <w:rFonts w:ascii="Times New Roman" w:hAnsi="Times New Roman" w:cs="Times New Roman"/>
        </w:rPr>
        <w:t>Grosskopf</w:t>
      </w:r>
      <w:proofErr w:type="spellEnd"/>
      <w:r w:rsidR="00036061">
        <w:rPr>
          <w:rFonts w:ascii="Times New Roman" w:hAnsi="Times New Roman" w:cs="Times New Roman"/>
        </w:rPr>
        <w:t>, 2004, pp. 96-100).</w:t>
      </w:r>
      <w:r w:rsidR="00761EE7">
        <w:rPr>
          <w:rStyle w:val="EndnoteReference"/>
          <w:rFonts w:ascii="Times New Roman" w:hAnsi="Times New Roman" w:cs="Times New Roman"/>
        </w:rPr>
        <w:endnoteReference w:id="6"/>
      </w:r>
      <w:r w:rsidR="00036061">
        <w:rPr>
          <w:rFonts w:ascii="Times New Roman" w:hAnsi="Times New Roman" w:cs="Times New Roman"/>
        </w:rPr>
        <w:t xml:space="preserve">  </w:t>
      </w:r>
      <w:r>
        <w:rPr>
          <w:rFonts w:ascii="Times New Roman" w:hAnsi="Times New Roman" w:cs="Times New Roman"/>
        </w:rPr>
        <w:t>For our purposes we use</w:t>
      </w:r>
      <w:r w:rsidR="00761EE7">
        <w:rPr>
          <w:rFonts w:ascii="Times New Roman" w:hAnsi="Times New Roman" w:cs="Times New Roman"/>
        </w:rPr>
        <w:t xml:space="preserve"> the cost corollary of Koopmans</w:t>
      </w:r>
      <w:r w:rsidR="00CE5285">
        <w:rPr>
          <w:rFonts w:ascii="Times New Roman" w:hAnsi="Times New Roman" w:cs="Times New Roman"/>
        </w:rPr>
        <w:t>’</w:t>
      </w:r>
      <w:r w:rsidR="00761EE7">
        <w:rPr>
          <w:rFonts w:ascii="Times New Roman" w:hAnsi="Times New Roman" w:cs="Times New Roman"/>
        </w:rPr>
        <w:t xml:space="preserve"> (1957) theorem since as we have shown the </w:t>
      </w:r>
      <w:proofErr w:type="spellStart"/>
      <w:r w:rsidR="00761EE7">
        <w:rPr>
          <w:rFonts w:ascii="Times New Roman" w:hAnsi="Times New Roman" w:cs="Times New Roman"/>
        </w:rPr>
        <w:t>BoD</w:t>
      </w:r>
      <w:proofErr w:type="spellEnd"/>
      <w:r w:rsidR="00761EE7">
        <w:rPr>
          <w:rFonts w:ascii="Times New Roman" w:hAnsi="Times New Roman" w:cs="Times New Roman"/>
        </w:rPr>
        <w:t xml:space="preserve"> model is essentially a special case of the input oriented mod</w:t>
      </w:r>
      <w:r w:rsidR="00CE5285">
        <w:rPr>
          <w:rFonts w:ascii="Times New Roman" w:hAnsi="Times New Roman" w:cs="Times New Roman"/>
        </w:rPr>
        <w:t>el, which is compatible with</w:t>
      </w:r>
      <w:r w:rsidR="00761EE7">
        <w:rPr>
          <w:rFonts w:ascii="Times New Roman" w:hAnsi="Times New Roman" w:cs="Times New Roman"/>
        </w:rPr>
        <w:t xml:space="preserve"> cost minimization.  </w:t>
      </w:r>
      <w:r w:rsidR="00621635">
        <w:rPr>
          <w:rFonts w:ascii="Times New Roman" w:hAnsi="Times New Roman" w:cs="Times New Roman"/>
        </w:rPr>
        <w:t>Koopmans</w:t>
      </w:r>
      <w:r w:rsidR="00CE5285">
        <w:rPr>
          <w:rFonts w:ascii="Times New Roman" w:hAnsi="Times New Roman" w:cs="Times New Roman"/>
        </w:rPr>
        <w:t>’</w:t>
      </w:r>
      <w:r w:rsidR="00621635">
        <w:rPr>
          <w:rFonts w:ascii="Times New Roman" w:hAnsi="Times New Roman" w:cs="Times New Roman"/>
        </w:rPr>
        <w:t xml:space="preserve"> (1957) cost corollary states that aggregate or industry minimum cost is equal to the sum of firms’ minimal costs as long as all </w:t>
      </w:r>
      <w:r w:rsidR="00A86578">
        <w:rPr>
          <w:rFonts w:ascii="Times New Roman" w:hAnsi="Times New Roman" w:cs="Times New Roman"/>
        </w:rPr>
        <w:t xml:space="preserve">the </w:t>
      </w:r>
      <w:r w:rsidR="00CE5285">
        <w:rPr>
          <w:rFonts w:ascii="Times New Roman" w:hAnsi="Times New Roman" w:cs="Times New Roman"/>
        </w:rPr>
        <w:t xml:space="preserve">evaluated </w:t>
      </w:r>
      <w:r w:rsidR="00621635">
        <w:rPr>
          <w:rFonts w:ascii="Times New Roman" w:hAnsi="Times New Roman" w:cs="Times New Roman"/>
        </w:rPr>
        <w:t>units face the same input prices.  Given this we may define aggregate cost efficiency as:</w:t>
      </w:r>
      <w:r w:rsidR="00761EE7">
        <w:rPr>
          <w:rFonts w:ascii="Times New Roman" w:hAnsi="Times New Roman" w:cs="Times New Roman"/>
        </w:rPr>
        <w:t xml:space="preserve">  </w:t>
      </w:r>
      <w:r w:rsidR="00036061">
        <w:rPr>
          <w:rFonts w:ascii="Times New Roman" w:hAnsi="Times New Roman" w:cs="Times New Roman"/>
        </w:rPr>
        <w:t xml:space="preserve"> </w:t>
      </w:r>
    </w:p>
    <w:p w14:paraId="647E012C" w14:textId="77777777" w:rsidR="00DE214D" w:rsidRDefault="00DE214D" w:rsidP="00621635">
      <w:pPr>
        <w:jc w:val="both"/>
        <w:rPr>
          <w:rFonts w:ascii="Times New Roman" w:hAnsi="Times New Roman" w:cs="Times New Roman"/>
        </w:rPr>
      </w:pPr>
    </w:p>
    <w:p w14:paraId="50FFE274" w14:textId="4F1CB6C4" w:rsidR="00DE214D" w:rsidRPr="00612699" w:rsidRDefault="00DE214D" w:rsidP="00612699">
      <w:pPr>
        <w:spacing w:line="360" w:lineRule="auto"/>
        <w:ind w:left="1560"/>
        <w:jc w:val="both"/>
        <w:rPr>
          <w:rFonts w:ascii="Times New Roman" w:hAnsi="Times New Roman" w:cs="Times New Roman"/>
        </w:rPr>
      </w:pPr>
      <m:oMathPara>
        <m:oMathParaPr>
          <m:jc m:val="left"/>
        </m:oMathParaPr>
        <m:oMath>
          <m:r>
            <w:rPr>
              <w:rFonts w:ascii="Cambria Math" w:hAnsi="Cambria Math" w:cs="Times New Roman"/>
            </w:rPr>
            <m:t>CE=</m:t>
          </m:r>
          <m:f>
            <m:fPr>
              <m:ctrlPr>
                <w:rPr>
                  <w:rFonts w:ascii="Cambria Math" w:hAnsi="Cambria Math" w:cs="Times New Roman"/>
                  <w:i/>
                </w:rPr>
              </m:ctrlPr>
            </m:fPr>
            <m:num>
              <m:r>
                <w:rPr>
                  <w:rFonts w:ascii="Cambria Math" w:hAnsi="Cambria Math" w:cs="Times New Roman"/>
                </w:rPr>
                <m:t>C(</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R</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1</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K</m:t>
                  </m:r>
                </m:sup>
              </m:sSup>
              <m:r>
                <w:rPr>
                  <w:rFonts w:ascii="Cambria Math" w:hAnsi="Cambria Math" w:cs="Times New Roman"/>
                </w:rPr>
                <m:t>)</m:t>
              </m:r>
            </m:num>
            <m:den>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nary>
                    <m:naryPr>
                      <m:chr m:val="∑"/>
                      <m:limLoc m:val="undOvr"/>
                      <m:ctrlPr>
                        <w:rPr>
                          <w:rFonts w:ascii="Cambria Math" w:hAnsi="Cambria Math" w:cs="Times New Roman"/>
                          <w:i/>
                        </w:rPr>
                      </m:ctrlPr>
                    </m:naryPr>
                    <m:sub>
                      <m:r>
                        <w:rPr>
                          <w:rFonts w:ascii="Cambria Math" w:hAnsi="Cambria Math" w:cs="Times New Roman"/>
                        </w:rPr>
                        <m:t>r=1</m:t>
                      </m:r>
                    </m:sub>
                    <m:sup>
                      <m:r>
                        <w:rPr>
                          <w:rFonts w:ascii="Cambria Math" w:hAnsi="Cambria Math" w:cs="Times New Roman"/>
                        </w:rPr>
                        <m:t>R</m:t>
                      </m:r>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r</m:t>
                          </m:r>
                        </m:sub>
                      </m:sSub>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r</m:t>
                          </m:r>
                        </m:sub>
                        <m:sup>
                          <m:r>
                            <w:rPr>
                              <w:rFonts w:ascii="Cambria Math" w:hAnsi="Cambria Math" w:cs="Times New Roman"/>
                            </w:rPr>
                            <m:t>k</m:t>
                          </m:r>
                        </m:sup>
                      </m:sSubSup>
                    </m:e>
                  </m:nary>
                </m:e>
              </m:nary>
            </m:den>
          </m:f>
          <m:r>
            <w:rPr>
              <w:rFonts w:ascii="Cambria Math" w:hAnsi="Cambria Math" w:cs="Times New Roman"/>
            </w:rPr>
            <m:t>=</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k</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R</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k</m:t>
                      </m:r>
                    </m:sup>
                  </m:sSup>
                  <m:r>
                    <w:rPr>
                      <w:rFonts w:ascii="Cambria Math" w:hAnsi="Cambria Math" w:cs="Times New Roman"/>
                    </w:rPr>
                    <m:t>)</m:t>
                  </m:r>
                </m:e>
              </m:nary>
            </m:num>
            <m:den>
              <m:nary>
                <m:naryPr>
                  <m:chr m:val="∑"/>
                  <m:limLoc m:val="undOvr"/>
                  <m:ctrlPr>
                    <w:rPr>
                      <w:rFonts w:ascii="Cambria Math" w:hAnsi="Cambria Math" w:cs="Times New Roman"/>
                      <w:i/>
                    </w:rPr>
                  </m:ctrlPr>
                </m:naryPr>
                <m:sub>
                  <m:r>
                    <w:rPr>
                      <w:rFonts w:ascii="Cambria Math" w:hAnsi="Cambria Math" w:cs="Times New Roman"/>
                    </w:rPr>
                    <m:t>r=1</m:t>
                  </m:r>
                </m:sub>
                <m:sup>
                  <m:r>
                    <w:rPr>
                      <w:rFonts w:ascii="Cambria Math" w:hAnsi="Cambria Math" w:cs="Times New Roman"/>
                    </w:rPr>
                    <m:t>R</m:t>
                  </m:r>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r</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r</m:t>
                          </m:r>
                        </m:sub>
                        <m:sup>
                          <m:r>
                            <w:rPr>
                              <w:rFonts w:ascii="Cambria Math" w:hAnsi="Cambria Math" w:cs="Times New Roman"/>
                            </w:rPr>
                            <m:t>k</m:t>
                          </m:r>
                        </m:sup>
                      </m:sSubSup>
                    </m:e>
                  </m:nary>
                  <m:r>
                    <w:rPr>
                      <w:rFonts w:ascii="Cambria Math" w:hAnsi="Cambria Math" w:cs="Times New Roman"/>
                    </w:rPr>
                    <m:t>)</m:t>
                  </m:r>
                </m:e>
              </m:nary>
            </m:den>
          </m:f>
          <m:r>
            <w:rPr>
              <w:rFonts w:ascii="Cambria Math" w:hAnsi="Cambria Math" w:cs="Times New Roman"/>
            </w:rPr>
            <m:t xml:space="preserve">                 (5)</m:t>
          </m:r>
        </m:oMath>
      </m:oMathPara>
    </w:p>
    <w:p w14:paraId="26F40CC3" w14:textId="77777777" w:rsidR="00DE214D" w:rsidRDefault="00DE214D" w:rsidP="00621635">
      <w:pPr>
        <w:jc w:val="both"/>
        <w:rPr>
          <w:rFonts w:ascii="Times New Roman" w:hAnsi="Times New Roman" w:cs="Times New Roman"/>
        </w:rPr>
      </w:pPr>
    </w:p>
    <w:p w14:paraId="1B9C4A02" w14:textId="04817EF1" w:rsidR="00612699" w:rsidRDefault="00621635" w:rsidP="002E2D9A">
      <w:pPr>
        <w:spacing w:line="360" w:lineRule="auto"/>
        <w:jc w:val="both"/>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w:r w:rsidRPr="00621635">
        <w:rPr>
          <w:rFonts w:ascii="Times New Roman" w:hAnsi="Times New Roman" w:cs="Times New Roman"/>
          <w:i/>
        </w:rPr>
        <w:t>w</w:t>
      </w:r>
      <w:r>
        <w:rPr>
          <w:rFonts w:ascii="Times New Roman" w:hAnsi="Times New Roman" w:cs="Times New Roman"/>
        </w:rPr>
        <w:t xml:space="preserve"> refers to input prices and </w:t>
      </w:r>
      <m:oMath>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k</m:t>
            </m:r>
          </m:sup>
        </m:sSup>
      </m:oMath>
      <w:r>
        <w:rPr>
          <w:rFonts w:ascii="Times New Roman" w:hAnsi="Times New Roman" w:cs="Times New Roman"/>
        </w:rPr>
        <w:t xml:space="preserve"> are vectors rather than observations of data</w:t>
      </w:r>
      <w:r w:rsidR="00A86578">
        <w:rPr>
          <w:rFonts w:ascii="Times New Roman" w:hAnsi="Times New Roman" w:cs="Times New Roman"/>
        </w:rPr>
        <w:t xml:space="preserve"> consisting of </w:t>
      </w:r>
      <m:oMath>
        <m:sSubSup>
          <m:sSubSupPr>
            <m:ctrlPr>
              <w:rPr>
                <w:rFonts w:ascii="Cambria Math" w:hAnsi="Cambria Math" w:cs="Times New Roman"/>
                <w:i/>
              </w:rPr>
            </m:ctrlPr>
          </m:sSubSupPr>
          <m:e>
            <m:r>
              <w:rPr>
                <w:rFonts w:ascii="Cambria Math" w:hAnsi="Cambria Math" w:cs="Times New Roman"/>
              </w:rPr>
              <m:t>I</m:t>
            </m:r>
          </m:e>
          <m:sub>
            <m:r>
              <w:rPr>
                <w:rFonts w:ascii="Cambria Math" w:hAnsi="Cambria Math" w:cs="Times New Roman"/>
              </w:rPr>
              <m:t>i</m:t>
            </m:r>
          </m:sub>
          <m:sup>
            <m:r>
              <w:rPr>
                <w:rFonts w:ascii="Cambria Math" w:hAnsi="Cambria Math" w:cs="Times New Roman"/>
              </w:rPr>
              <m:t>k</m:t>
            </m:r>
          </m:sup>
        </m:sSubSup>
      </m:oMath>
      <w:r w:rsidR="00A86578">
        <w:rPr>
          <w:rFonts w:ascii="Times New Roman" w:hAnsi="Times New Roman" w:cs="Times New Roman"/>
        </w:rPr>
        <w:t xml:space="preserve"> for </w:t>
      </w:r>
      <m:oMath>
        <m:r>
          <w:rPr>
            <w:rFonts w:ascii="Cambria Math" w:hAnsi="Cambria Math" w:cs="Times New Roman"/>
          </w:rPr>
          <m:t>i=1,…,N</m:t>
        </m:r>
      </m:oMath>
      <w:r>
        <w:rPr>
          <w:rFonts w:ascii="Times New Roman" w:hAnsi="Times New Roman" w:cs="Times New Roman"/>
        </w:rPr>
        <w:t>.  In the case where there is only a single input that takes the value of one for all DMUs, (5) simplifies to</w:t>
      </w:r>
      <w:r w:rsidR="00CE5285">
        <w:rPr>
          <w:rFonts w:ascii="Times New Roman" w:hAnsi="Times New Roman" w:cs="Times New Roman"/>
        </w:rPr>
        <w:t>:</w:t>
      </w:r>
    </w:p>
    <w:p w14:paraId="01F709BB" w14:textId="55CFE92B" w:rsidR="00621635" w:rsidRDefault="00621635" w:rsidP="00612699">
      <w:pPr>
        <w:jc w:val="both"/>
        <w:rPr>
          <w:rFonts w:ascii="Times New Roman" w:hAnsi="Times New Roman" w:cs="Times New Roman"/>
        </w:rPr>
      </w:pPr>
      <w:r>
        <w:rPr>
          <w:rFonts w:ascii="Times New Roman" w:hAnsi="Times New Roman" w:cs="Times New Roman"/>
        </w:rPr>
        <w:t xml:space="preserve">     </w:t>
      </w:r>
    </w:p>
    <w:p w14:paraId="7B9A4C0F" w14:textId="68394745" w:rsidR="00DE214D" w:rsidRPr="00612699" w:rsidRDefault="00DE214D" w:rsidP="00612699">
      <w:pPr>
        <w:spacing w:line="360" w:lineRule="auto"/>
        <w:ind w:left="709"/>
        <w:jc w:val="both"/>
        <w:rPr>
          <w:rFonts w:ascii="Times New Roman" w:hAnsi="Times New Roman" w:cs="Times New Roman"/>
        </w:rPr>
      </w:pPr>
      <m:oMathPara>
        <m:oMathParaPr>
          <m:jc m:val="left"/>
        </m:oMathParaPr>
        <m:oMath>
          <m:r>
            <w:rPr>
              <w:rFonts w:ascii="Cambria Math" w:hAnsi="Cambria Math" w:cs="Times New Roman"/>
            </w:rPr>
            <m:t>CE=</m:t>
          </m:r>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k</m:t>
                      </m:r>
                    </m:sup>
                  </m:sSup>
                  <m:r>
                    <w:rPr>
                      <w:rFonts w:ascii="Cambria Math" w:hAnsi="Cambria Math" w:cs="Times New Roman"/>
                    </w:rPr>
                    <m:t>(w,</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k</m:t>
                      </m:r>
                    </m:sup>
                  </m:sSup>
                  <m:r>
                    <w:rPr>
                      <w:rFonts w:ascii="Cambria Math" w:hAnsi="Cambria Math" w:cs="Times New Roman"/>
                    </w:rPr>
                    <m:t>)</m:t>
                  </m:r>
                </m:e>
              </m:nary>
            </m:num>
            <m:den>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r>
                    <w:rPr>
                      <w:rFonts w:ascii="Cambria Math" w:hAnsi="Cambria Math" w:cs="Times New Roman"/>
                    </w:rPr>
                    <m:t>w</m:t>
                  </m:r>
                </m:e>
              </m:nary>
            </m:den>
          </m:f>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w</m:t>
                      </m:r>
                    </m:num>
                    <m:den>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r>
                            <w:rPr>
                              <w:rFonts w:ascii="Cambria Math" w:hAnsi="Cambria Math" w:cs="Times New Roman"/>
                            </w:rPr>
                            <m:t>w</m:t>
                          </m:r>
                        </m:e>
                      </m:nary>
                    </m:den>
                  </m:f>
                </m:e>
              </m:d>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K</m:t>
                      </m:r>
                    </m:sup>
                    <m:e>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k</m:t>
                          </m:r>
                        </m:sup>
                      </m:sSup>
                      <m:r>
                        <w:rPr>
                          <w:rFonts w:ascii="Cambria Math" w:hAnsi="Cambria Math" w:cs="Times New Roman"/>
                        </w:rPr>
                        <m:t>(w,</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k</m:t>
                          </m:r>
                        </m:sup>
                      </m:sSup>
                      <m:r>
                        <w:rPr>
                          <w:rFonts w:ascii="Cambria Math" w:hAnsi="Cambria Math" w:cs="Times New Roman"/>
                        </w:rPr>
                        <m:t>)</m:t>
                      </m:r>
                    </m:e>
                  </m:nary>
                </m:num>
                <m:den>
                  <m:r>
                    <w:rPr>
                      <w:rFonts w:ascii="Cambria Math" w:hAnsi="Cambria Math" w:cs="Times New Roman"/>
                    </w:rPr>
                    <m:t>w</m:t>
                  </m:r>
                </m:den>
              </m:f>
            </m:e>
          </m:nary>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K</m:t>
              </m:r>
            </m:den>
          </m:f>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K</m:t>
              </m:r>
            </m:sup>
            <m:e>
              <m:sSup>
                <m:sSupPr>
                  <m:ctrlPr>
                    <w:rPr>
                      <w:rFonts w:ascii="Cambria Math" w:hAnsi="Cambria Math" w:cs="Times New Roman"/>
                      <w:i/>
                    </w:rPr>
                  </m:ctrlPr>
                </m:sSupPr>
                <m:e>
                  <m:r>
                    <w:rPr>
                      <w:rFonts w:ascii="Cambria Math" w:hAnsi="Cambria Math" w:cs="Times New Roman"/>
                    </w:rPr>
                    <m:t>CE</m:t>
                  </m:r>
                </m:e>
                <m:sup>
                  <m:r>
                    <w:rPr>
                      <w:rFonts w:ascii="Cambria Math" w:hAnsi="Cambria Math" w:cs="Times New Roman"/>
                    </w:rPr>
                    <m:t>k</m:t>
                  </m:r>
                </m:sup>
              </m:sSup>
            </m:e>
          </m:nary>
          <m:r>
            <w:rPr>
              <w:rFonts w:ascii="Cambria Math" w:hAnsi="Cambria Math" w:cs="Times New Roman"/>
            </w:rPr>
            <m:t xml:space="preserve">          (6)</m:t>
          </m:r>
        </m:oMath>
      </m:oMathPara>
    </w:p>
    <w:p w14:paraId="039F6472" w14:textId="77777777" w:rsidR="00DE214D" w:rsidRDefault="00DE214D" w:rsidP="002E2D9A">
      <w:pPr>
        <w:spacing w:line="360" w:lineRule="auto"/>
        <w:jc w:val="both"/>
        <w:rPr>
          <w:rFonts w:ascii="Times New Roman" w:hAnsi="Times New Roman" w:cs="Times New Roman"/>
        </w:rPr>
      </w:pPr>
    </w:p>
    <w:p w14:paraId="12220C90" w14:textId="0977B6E7" w:rsidR="00926D19" w:rsidRPr="00E30EA3" w:rsidRDefault="00612699" w:rsidP="00950150">
      <w:pPr>
        <w:spacing w:line="360" w:lineRule="auto"/>
        <w:jc w:val="both"/>
        <w:rPr>
          <w:rFonts w:ascii="Times New Roman" w:hAnsi="Times New Roman" w:cs="Times New Roman"/>
        </w:rPr>
      </w:pPr>
      <w:proofErr w:type="gramStart"/>
      <w:r>
        <w:rPr>
          <w:rFonts w:ascii="Times New Roman" w:hAnsi="Times New Roman" w:cs="Times New Roman"/>
        </w:rPr>
        <w:t>which</w:t>
      </w:r>
      <w:proofErr w:type="gramEnd"/>
      <w:r>
        <w:rPr>
          <w:rFonts w:ascii="Times New Roman" w:hAnsi="Times New Roman" w:cs="Times New Roman"/>
        </w:rPr>
        <w:t xml:space="preserve"> indicates that aggregate cost efficiency is given by the arithmetic average of individual cost efficiencies.</w:t>
      </w:r>
      <w:r w:rsidR="004A439D">
        <w:rPr>
          <w:rStyle w:val="EndnoteReference"/>
          <w:rFonts w:ascii="Times New Roman" w:hAnsi="Times New Roman" w:cs="Times New Roman"/>
        </w:rPr>
        <w:endnoteReference w:id="7"/>
      </w:r>
      <w:r>
        <w:rPr>
          <w:rFonts w:ascii="Times New Roman" w:hAnsi="Times New Roman" w:cs="Times New Roman"/>
        </w:rPr>
        <w:t xml:space="preserve">  In addition, t</w:t>
      </w:r>
      <w:r w:rsidR="00E30EA3">
        <w:rPr>
          <w:rFonts w:ascii="Times New Roman" w:hAnsi="Times New Roman" w:cs="Times New Roman"/>
        </w:rPr>
        <w:t xml:space="preserve">he presence of a single input implies that there is no </w:t>
      </w:r>
      <w:r w:rsidR="00E82FF8">
        <w:rPr>
          <w:rFonts w:ascii="Times New Roman" w:hAnsi="Times New Roman" w:cs="Times New Roman"/>
        </w:rPr>
        <w:t xml:space="preserve">input </w:t>
      </w:r>
      <w:r w:rsidR="00E30EA3" w:rsidRPr="00DB7CB7">
        <w:rPr>
          <w:rFonts w:ascii="Times New Roman" w:hAnsi="Times New Roman" w:cs="Times New Roman"/>
        </w:rPr>
        <w:t>allocation</w:t>
      </w:r>
      <w:r w:rsidR="00E30EA3">
        <w:rPr>
          <w:rFonts w:ascii="Times New Roman" w:hAnsi="Times New Roman" w:cs="Times New Roman"/>
        </w:rPr>
        <w:t xml:space="preserve"> inefficiency and </w:t>
      </w:r>
      <w:r w:rsidR="00950150">
        <w:rPr>
          <w:rFonts w:ascii="Times New Roman" w:hAnsi="Times New Roman" w:cs="Times New Roman"/>
        </w:rPr>
        <w:t>thus the above result</w:t>
      </w:r>
      <w:r>
        <w:rPr>
          <w:rFonts w:ascii="Times New Roman" w:hAnsi="Times New Roman" w:cs="Times New Roman"/>
        </w:rPr>
        <w:t xml:space="preserve"> </w:t>
      </w:r>
      <w:r w:rsidR="00950150">
        <w:rPr>
          <w:rFonts w:ascii="Times New Roman" w:hAnsi="Times New Roman" w:cs="Times New Roman"/>
        </w:rPr>
        <w:t>applies to</w:t>
      </w:r>
      <w:r>
        <w:rPr>
          <w:rFonts w:ascii="Times New Roman" w:hAnsi="Times New Roman" w:cs="Times New Roman"/>
        </w:rPr>
        <w:t xml:space="preserve"> technical efficiency</w:t>
      </w:r>
      <w:r w:rsidR="00950150">
        <w:rPr>
          <w:rFonts w:ascii="Times New Roman" w:hAnsi="Times New Roman" w:cs="Times New Roman"/>
        </w:rPr>
        <w:t>, w</w:t>
      </w:r>
      <w:r w:rsidR="00CE5285">
        <w:rPr>
          <w:rFonts w:ascii="Times New Roman" w:hAnsi="Times New Roman" w:cs="Times New Roman"/>
        </w:rPr>
        <w:t>hich in terms of model (4) yields</w:t>
      </w:r>
      <w:r w:rsidR="00950150">
        <w:rPr>
          <w:rFonts w:ascii="Times New Roman" w:hAnsi="Times New Roman" w:cs="Times New Roman"/>
        </w:rPr>
        <w:t xml:space="preserve">: </w:t>
      </w:r>
    </w:p>
    <w:p w14:paraId="0F0D21FF" w14:textId="77777777" w:rsidR="00E30EA3" w:rsidRDefault="00E30EA3">
      <w:pPr>
        <w:rPr>
          <w:rFonts w:ascii="Times New Roman" w:hAnsi="Times New Roman" w:cs="Times New Roman"/>
        </w:rPr>
      </w:pPr>
    </w:p>
    <w:p w14:paraId="05DDFB6C" w14:textId="62DD170B" w:rsidR="00E30EA3" w:rsidRPr="00E30EA3" w:rsidRDefault="00860ACD">
      <w:pPr>
        <w:rPr>
          <w:rFonts w:ascii="Times New Roman" w:hAnsi="Times New Roman" w:cs="Times New Roman"/>
        </w:rPr>
      </w:pPr>
      <m:oMathPara>
        <m:oMath>
          <m:r>
            <w:rPr>
              <w:rFonts w:ascii="Cambria Math" w:hAnsi="Cambria Math" w:cs="Times New Roman"/>
            </w:rPr>
            <m:t xml:space="preserve">                                                           </m:t>
          </m:r>
          <m:r>
            <m:rPr>
              <m:sty m:val="p"/>
            </m:rPr>
            <w:rPr>
              <w:rFonts w:ascii="Cambria Math" w:hAnsi="Cambria Math" w:cs="Times New Roman"/>
            </w:rPr>
            <m:t>I=</m:t>
          </m:r>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K</m:t>
              </m:r>
            </m:den>
          </m:f>
          <m:nary>
            <m:naryPr>
              <m:chr m:val="∑"/>
              <m:limLoc m:val="undOvr"/>
              <m:ctrlPr>
                <w:rPr>
                  <w:rFonts w:ascii="Cambria Math" w:hAnsi="Cambria Math" w:cs="Times New Roman"/>
                </w:rPr>
              </m:ctrlPr>
            </m:naryPr>
            <m:sub>
              <m:r>
                <m:rPr>
                  <m:sty m:val="p"/>
                </m:rPr>
                <w:rPr>
                  <w:rFonts w:ascii="Cambria Math" w:hAnsi="Cambria Math" w:cs="Times New Roman"/>
                </w:rPr>
                <m:t>k=1</m:t>
              </m:r>
            </m:sub>
            <m:sup>
              <m:r>
                <m:rPr>
                  <m:sty m:val="p"/>
                </m:rPr>
                <w:rPr>
                  <w:rFonts w:ascii="Cambria Math" w:hAnsi="Cambria Math" w:cs="Times New Roman"/>
                </w:rPr>
                <m:t>K</m:t>
              </m:r>
            </m:sup>
            <m:e>
              <m:sSup>
                <m:sSupPr>
                  <m:ctrlPr>
                    <w:rPr>
                      <w:rFonts w:ascii="Cambria Math" w:hAnsi="Cambria Math" w:cs="Times New Roman"/>
                    </w:rPr>
                  </m:ctrlPr>
                </m:sSupPr>
                <m:e>
                  <m:r>
                    <w:rPr>
                      <w:rFonts w:ascii="Cambria Math" w:hAnsi="Cambria Math" w:cs="Times New Roman"/>
                    </w:rPr>
                    <m:t>I</m:t>
                  </m:r>
                </m:e>
                <m:sup>
                  <m:r>
                    <w:rPr>
                      <w:rFonts w:ascii="Cambria Math" w:hAnsi="Cambria Math" w:cs="Times New Roman"/>
                    </w:rPr>
                    <m:t>k</m:t>
                  </m:r>
                </m:sup>
              </m:sSup>
            </m:e>
          </m:nary>
          <m:r>
            <w:rPr>
              <w:rFonts w:ascii="Cambria Math" w:hAnsi="Cambria Math" w:cs="Times New Roman"/>
            </w:rPr>
            <m:t xml:space="preserve">                                                                     (7)</m:t>
          </m:r>
        </m:oMath>
      </m:oMathPara>
    </w:p>
    <w:p w14:paraId="34226409" w14:textId="77777777" w:rsidR="00174107" w:rsidRDefault="00174107">
      <w:pPr>
        <w:rPr>
          <w:rFonts w:ascii="Times New Roman" w:hAnsi="Times New Roman" w:cs="Times New Roman"/>
          <w:b/>
        </w:rPr>
      </w:pPr>
    </w:p>
    <w:p w14:paraId="78701946" w14:textId="737A1596" w:rsidR="00612699" w:rsidRDefault="002F331A" w:rsidP="00E82FF8">
      <w:pPr>
        <w:spacing w:line="360" w:lineRule="auto"/>
        <w:jc w:val="both"/>
        <w:rPr>
          <w:rFonts w:ascii="Times New Roman" w:hAnsi="Times New Roman" w:cs="Times New Roman"/>
        </w:rPr>
      </w:pPr>
      <w:r>
        <w:rPr>
          <w:rFonts w:ascii="Times New Roman" w:hAnsi="Times New Roman" w:cs="Times New Roman"/>
        </w:rPr>
        <w:t xml:space="preserve">That is, the aggregate composite indicator equals the simple un-weighted arithmetic </w:t>
      </w:r>
      <w:r w:rsidR="004224FC">
        <w:rPr>
          <w:rFonts w:ascii="Times New Roman" w:hAnsi="Times New Roman" w:cs="Times New Roman"/>
        </w:rPr>
        <w:t xml:space="preserve">average </w:t>
      </w:r>
      <w:r>
        <w:rPr>
          <w:rFonts w:ascii="Times New Roman" w:hAnsi="Times New Roman" w:cs="Times New Roman"/>
        </w:rPr>
        <w:t>of the estimated individual composite ind</w:t>
      </w:r>
      <w:r w:rsidR="004224FC">
        <w:rPr>
          <w:rFonts w:ascii="Times New Roman" w:hAnsi="Times New Roman" w:cs="Times New Roman"/>
        </w:rPr>
        <w:t>icators.</w:t>
      </w:r>
      <w:r w:rsidR="0054056E">
        <w:rPr>
          <w:rStyle w:val="EndnoteReference"/>
          <w:rFonts w:ascii="Times New Roman" w:hAnsi="Times New Roman" w:cs="Times New Roman"/>
        </w:rPr>
        <w:endnoteReference w:id="8"/>
      </w:r>
      <w:r w:rsidR="00950150">
        <w:rPr>
          <w:rFonts w:ascii="Times New Roman" w:hAnsi="Times New Roman" w:cs="Times New Roman"/>
        </w:rPr>
        <w:t xml:space="preserve">  This rather simple a</w:t>
      </w:r>
      <w:r w:rsidR="0006759E">
        <w:rPr>
          <w:rFonts w:ascii="Times New Roman" w:hAnsi="Times New Roman" w:cs="Times New Roman"/>
        </w:rPr>
        <w:t>ggregation rule renders</w:t>
      </w:r>
      <w:r w:rsidR="00950150">
        <w:rPr>
          <w:rFonts w:ascii="Times New Roman" w:hAnsi="Times New Roman" w:cs="Times New Roman"/>
        </w:rPr>
        <w:t xml:space="preserve"> </w:t>
      </w:r>
      <w:r w:rsidR="00CE5285">
        <w:rPr>
          <w:rFonts w:ascii="Times New Roman" w:hAnsi="Times New Roman" w:cs="Times New Roman"/>
        </w:rPr>
        <w:t xml:space="preserve">the use of the </w:t>
      </w:r>
      <w:r w:rsidR="00950150">
        <w:rPr>
          <w:rFonts w:ascii="Times New Roman" w:hAnsi="Times New Roman" w:cs="Times New Roman"/>
        </w:rPr>
        <w:t xml:space="preserve">average technical efficiency from a radial </w:t>
      </w:r>
      <w:r w:rsidR="00CE5285">
        <w:rPr>
          <w:rFonts w:ascii="Times New Roman" w:hAnsi="Times New Roman" w:cs="Times New Roman"/>
        </w:rPr>
        <w:t xml:space="preserve">input-oriented </w:t>
      </w:r>
      <w:r w:rsidR="00950150">
        <w:rPr>
          <w:rFonts w:ascii="Times New Roman" w:hAnsi="Times New Roman" w:cs="Times New Roman"/>
        </w:rPr>
        <w:t>DEA mod</w:t>
      </w:r>
      <w:r w:rsidR="0006759E">
        <w:rPr>
          <w:rFonts w:ascii="Times New Roman" w:hAnsi="Times New Roman" w:cs="Times New Roman"/>
        </w:rPr>
        <w:t>el with a single constant input</w:t>
      </w:r>
      <w:r w:rsidR="00CE5285">
        <w:rPr>
          <w:rFonts w:ascii="Times New Roman" w:hAnsi="Times New Roman" w:cs="Times New Roman"/>
        </w:rPr>
        <w:t xml:space="preserve"> an accurate measure of aggregate performance</w:t>
      </w:r>
      <w:r w:rsidR="00950150">
        <w:rPr>
          <w:rFonts w:ascii="Times New Roman" w:hAnsi="Times New Roman" w:cs="Times New Roman"/>
        </w:rPr>
        <w:t>.</w:t>
      </w:r>
    </w:p>
    <w:p w14:paraId="4137DB38" w14:textId="5E6B1145" w:rsidR="00950150" w:rsidRPr="00860ACD" w:rsidRDefault="004224FC" w:rsidP="00521F2A">
      <w:pPr>
        <w:spacing w:line="360" w:lineRule="auto"/>
        <w:ind w:firstLine="720"/>
        <w:jc w:val="both"/>
        <w:rPr>
          <w:rFonts w:ascii="Times New Roman" w:hAnsi="Times New Roman" w:cs="Times New Roman"/>
        </w:rPr>
      </w:pPr>
      <w:r>
        <w:rPr>
          <w:rFonts w:ascii="Times New Roman" w:hAnsi="Times New Roman" w:cs="Times New Roman"/>
        </w:rPr>
        <w:t>The same formula</w:t>
      </w:r>
      <w:r w:rsidR="002F331A">
        <w:rPr>
          <w:rFonts w:ascii="Times New Roman" w:hAnsi="Times New Roman" w:cs="Times New Roman"/>
        </w:rPr>
        <w:t xml:space="preserve"> can also be used to aggregate composite indicators </w:t>
      </w:r>
      <w:r w:rsidR="00CE5285">
        <w:rPr>
          <w:rFonts w:ascii="Times New Roman" w:hAnsi="Times New Roman" w:cs="Times New Roman"/>
        </w:rPr>
        <w:t>within</w:t>
      </w:r>
      <w:r>
        <w:rPr>
          <w:rFonts w:ascii="Times New Roman" w:hAnsi="Times New Roman" w:cs="Times New Roman"/>
        </w:rPr>
        <w:t xml:space="preserve"> sub-groups of DMU</w:t>
      </w:r>
      <w:r w:rsidR="00860ACD">
        <w:rPr>
          <w:rFonts w:ascii="Times New Roman" w:hAnsi="Times New Roman" w:cs="Times New Roman"/>
        </w:rPr>
        <w:t>s.</w:t>
      </w:r>
      <w:r w:rsidR="00DB7CB7">
        <w:rPr>
          <w:rFonts w:ascii="Times New Roman" w:hAnsi="Times New Roman" w:cs="Times New Roman"/>
        </w:rPr>
        <w:t xml:space="preserve">  </w:t>
      </w:r>
      <w:r w:rsidR="008261B1">
        <w:rPr>
          <w:rFonts w:ascii="Times New Roman" w:hAnsi="Times New Roman" w:cs="Times New Roman"/>
        </w:rPr>
        <w:t>For example, aggrega</w:t>
      </w:r>
      <w:r w:rsidR="00BE365E">
        <w:rPr>
          <w:rFonts w:ascii="Times New Roman" w:hAnsi="Times New Roman" w:cs="Times New Roman"/>
        </w:rPr>
        <w:t>tion may be conducted</w:t>
      </w:r>
      <w:r w:rsidR="008261B1">
        <w:rPr>
          <w:rFonts w:ascii="Times New Roman" w:hAnsi="Times New Roman" w:cs="Times New Roman"/>
        </w:rPr>
        <w:t xml:space="preserve"> in terms of any relevant contextual variable, being size, location, </w:t>
      </w:r>
      <w:r w:rsidR="00CE5285">
        <w:rPr>
          <w:rFonts w:ascii="Times New Roman" w:hAnsi="Times New Roman" w:cs="Times New Roman"/>
        </w:rPr>
        <w:t xml:space="preserve">ownership type, organization form, </w:t>
      </w:r>
      <w:r w:rsidR="008261B1">
        <w:rPr>
          <w:rFonts w:ascii="Times New Roman" w:hAnsi="Times New Roman" w:cs="Times New Roman"/>
        </w:rPr>
        <w:t xml:space="preserve">etc.  </w:t>
      </w:r>
      <w:r w:rsidR="00DB7CB7">
        <w:rPr>
          <w:rFonts w:ascii="Times New Roman" w:hAnsi="Times New Roman" w:cs="Times New Roman"/>
        </w:rPr>
        <w:t xml:space="preserve">In addition, </w:t>
      </w:r>
      <w:r w:rsidR="008261B1">
        <w:rPr>
          <w:rFonts w:ascii="Times New Roman" w:hAnsi="Times New Roman" w:cs="Times New Roman"/>
        </w:rPr>
        <w:t>(7) is not limited to linear programming models but it can be use</w:t>
      </w:r>
      <w:r w:rsidR="00CE5285">
        <w:rPr>
          <w:rFonts w:ascii="Times New Roman" w:hAnsi="Times New Roman" w:cs="Times New Roman"/>
        </w:rPr>
        <w:t xml:space="preserve">d even if the </w:t>
      </w:r>
      <w:proofErr w:type="spellStart"/>
      <w:r w:rsidR="00CE5285">
        <w:rPr>
          <w:rFonts w:ascii="Times New Roman" w:hAnsi="Times New Roman" w:cs="Times New Roman"/>
        </w:rPr>
        <w:t>BoD</w:t>
      </w:r>
      <w:proofErr w:type="spellEnd"/>
      <w:r w:rsidR="00CE5285">
        <w:rPr>
          <w:rFonts w:ascii="Times New Roman" w:hAnsi="Times New Roman" w:cs="Times New Roman"/>
        </w:rPr>
        <w:t xml:space="preserve"> model is</w:t>
      </w:r>
      <w:r w:rsidR="008261B1">
        <w:rPr>
          <w:rFonts w:ascii="Times New Roman" w:hAnsi="Times New Roman" w:cs="Times New Roman"/>
        </w:rPr>
        <w:t xml:space="preserve"> estimated by mean</w:t>
      </w:r>
      <w:r w:rsidR="00CE5285">
        <w:rPr>
          <w:rFonts w:ascii="Times New Roman" w:hAnsi="Times New Roman" w:cs="Times New Roman"/>
        </w:rPr>
        <w:t>s of a stochastic frontier</w:t>
      </w:r>
      <w:r w:rsidR="008261B1">
        <w:rPr>
          <w:rFonts w:ascii="Times New Roman" w:hAnsi="Times New Roman" w:cs="Times New Roman"/>
        </w:rPr>
        <w:t xml:space="preserve"> formulation.  </w:t>
      </w:r>
      <w:r w:rsidR="00DB7CB7">
        <w:rPr>
          <w:rFonts w:ascii="Times New Roman" w:hAnsi="Times New Roman" w:cs="Times New Roman"/>
        </w:rPr>
        <w:t xml:space="preserve"> </w:t>
      </w:r>
      <w:r w:rsidR="0006759E">
        <w:rPr>
          <w:rFonts w:ascii="Times New Roman" w:hAnsi="Times New Roman" w:cs="Times New Roman"/>
        </w:rPr>
        <w:t>This is so since (7) is a</w:t>
      </w:r>
      <w:r w:rsidR="008261B1">
        <w:rPr>
          <w:rFonts w:ascii="Times New Roman" w:hAnsi="Times New Roman" w:cs="Times New Roman"/>
        </w:rPr>
        <w:t xml:space="preserve"> result stemming from Koopmans</w:t>
      </w:r>
      <w:r w:rsidR="00CE5285">
        <w:rPr>
          <w:rFonts w:ascii="Times New Roman" w:hAnsi="Times New Roman" w:cs="Times New Roman"/>
        </w:rPr>
        <w:t>’ (1957)</w:t>
      </w:r>
      <w:r w:rsidR="0006759E">
        <w:rPr>
          <w:rFonts w:ascii="Times New Roman" w:hAnsi="Times New Roman" w:cs="Times New Roman"/>
        </w:rPr>
        <w:t xml:space="preserve"> theorem and it is not</w:t>
      </w:r>
      <w:r w:rsidR="00BF77B3">
        <w:rPr>
          <w:rFonts w:ascii="Times New Roman" w:hAnsi="Times New Roman" w:cs="Times New Roman"/>
        </w:rPr>
        <w:t xml:space="preserve"> related to</w:t>
      </w:r>
      <w:r w:rsidR="008261B1">
        <w:rPr>
          <w:rFonts w:ascii="Times New Roman" w:hAnsi="Times New Roman" w:cs="Times New Roman"/>
        </w:rPr>
        <w:t xml:space="preserve"> </w:t>
      </w:r>
      <w:r w:rsidR="00BF77B3">
        <w:rPr>
          <w:rFonts w:ascii="Times New Roman" w:hAnsi="Times New Roman" w:cs="Times New Roman"/>
        </w:rPr>
        <w:t xml:space="preserve">or induced by </w:t>
      </w:r>
      <w:r w:rsidR="008261B1">
        <w:rPr>
          <w:rFonts w:ascii="Times New Roman" w:hAnsi="Times New Roman" w:cs="Times New Roman"/>
        </w:rPr>
        <w:t xml:space="preserve">the linear programming structure </w:t>
      </w:r>
      <w:proofErr w:type="gramStart"/>
      <w:r w:rsidR="008261B1">
        <w:rPr>
          <w:rFonts w:ascii="Times New Roman" w:hAnsi="Times New Roman" w:cs="Times New Roman"/>
        </w:rPr>
        <w:t>of (4)</w:t>
      </w:r>
      <w:proofErr w:type="gramEnd"/>
      <w:r w:rsidR="008261B1">
        <w:rPr>
          <w:rFonts w:ascii="Times New Roman" w:hAnsi="Times New Roman" w:cs="Times New Roman"/>
        </w:rPr>
        <w:t>.</w:t>
      </w:r>
      <w:r w:rsidR="00DB7CB7">
        <w:rPr>
          <w:rFonts w:ascii="Times New Roman" w:hAnsi="Times New Roman" w:cs="Times New Roman"/>
        </w:rPr>
        <w:t xml:space="preserve"> </w:t>
      </w:r>
      <w:r w:rsidR="008261B1">
        <w:rPr>
          <w:rFonts w:ascii="Times New Roman" w:hAnsi="Times New Roman" w:cs="Times New Roman"/>
        </w:rPr>
        <w:t xml:space="preserve"> L</w:t>
      </w:r>
      <w:r w:rsidR="00DB7CB7">
        <w:rPr>
          <w:rFonts w:ascii="Times New Roman" w:hAnsi="Times New Roman" w:cs="Times New Roman"/>
        </w:rPr>
        <w:t xml:space="preserve">ast </w:t>
      </w:r>
      <w:r w:rsidR="008261B1">
        <w:rPr>
          <w:rFonts w:ascii="Times New Roman" w:hAnsi="Times New Roman" w:cs="Times New Roman"/>
        </w:rPr>
        <w:t>but not least, (7)</w:t>
      </w:r>
      <w:r w:rsidR="00DB7CB7">
        <w:rPr>
          <w:rFonts w:ascii="Times New Roman" w:hAnsi="Times New Roman" w:cs="Times New Roman"/>
        </w:rPr>
        <w:t xml:space="preserve"> is readily applicable to other single constant input DEA models apart from </w:t>
      </w:r>
      <w:proofErr w:type="spellStart"/>
      <w:r w:rsidR="00DB7CB7">
        <w:rPr>
          <w:rFonts w:ascii="Times New Roman" w:hAnsi="Times New Roman" w:cs="Times New Roman"/>
        </w:rPr>
        <w:t>BoD</w:t>
      </w:r>
      <w:proofErr w:type="spellEnd"/>
      <w:r w:rsidR="00DB7CB7">
        <w:rPr>
          <w:rFonts w:ascii="Times New Roman" w:hAnsi="Times New Roman" w:cs="Times New Roman"/>
        </w:rPr>
        <w:t>.  These</w:t>
      </w:r>
      <w:r w:rsidR="008261B1">
        <w:rPr>
          <w:rFonts w:ascii="Times New Roman" w:hAnsi="Times New Roman" w:cs="Times New Roman"/>
        </w:rPr>
        <w:t xml:space="preserve"> include </w:t>
      </w:r>
      <w:r w:rsidR="008261B1" w:rsidRPr="008261B1">
        <w:rPr>
          <w:rFonts w:ascii="Times New Roman" w:hAnsi="Times New Roman" w:cs="Times New Roman"/>
          <w:i/>
        </w:rPr>
        <w:t>first</w:t>
      </w:r>
      <w:r w:rsidR="008261B1">
        <w:rPr>
          <w:rFonts w:ascii="Times New Roman" w:hAnsi="Times New Roman" w:cs="Times New Roman"/>
        </w:rPr>
        <w:t>,</w:t>
      </w:r>
      <w:r w:rsidR="00CE5285">
        <w:rPr>
          <w:rFonts w:ascii="Times New Roman" w:hAnsi="Times New Roman" w:cs="Times New Roman"/>
        </w:rPr>
        <w:t xml:space="preserve"> models</w:t>
      </w:r>
      <w:r w:rsidR="00DB7CB7">
        <w:rPr>
          <w:rFonts w:ascii="Times New Roman" w:hAnsi="Times New Roman" w:cs="Times New Roman"/>
        </w:rPr>
        <w:t xml:space="preserve"> that use ratio variables (e.g., financial ratios) to evaluate performance</w:t>
      </w:r>
      <w:r w:rsidR="00A86578">
        <w:rPr>
          <w:rFonts w:ascii="Times New Roman" w:hAnsi="Times New Roman" w:cs="Times New Roman"/>
        </w:rPr>
        <w:t xml:space="preserve"> all of which are treated as</w:t>
      </w:r>
      <w:r w:rsidR="00FA478B">
        <w:rPr>
          <w:rFonts w:ascii="Times New Roman" w:hAnsi="Times New Roman" w:cs="Times New Roman"/>
        </w:rPr>
        <w:t xml:space="preserve"> “outputs” (see Yang </w:t>
      </w:r>
      <w:r w:rsidR="00FA478B" w:rsidRPr="00B50149">
        <w:rPr>
          <w:rFonts w:ascii="Times New Roman" w:hAnsi="Times New Roman" w:cs="Times New Roman"/>
          <w:i/>
        </w:rPr>
        <w:t>et al</w:t>
      </w:r>
      <w:r w:rsidR="00FA478B">
        <w:rPr>
          <w:rFonts w:ascii="Times New Roman" w:hAnsi="Times New Roman" w:cs="Times New Roman"/>
        </w:rPr>
        <w:t>., 2014)</w:t>
      </w:r>
      <w:r w:rsidR="008261B1">
        <w:rPr>
          <w:rFonts w:ascii="Times New Roman" w:hAnsi="Times New Roman" w:cs="Times New Roman"/>
        </w:rPr>
        <w:t xml:space="preserve"> and </w:t>
      </w:r>
      <w:r w:rsidR="008261B1">
        <w:rPr>
          <w:rFonts w:ascii="Times New Roman" w:hAnsi="Times New Roman" w:cs="Times New Roman"/>
          <w:i/>
        </w:rPr>
        <w:t>second,</w:t>
      </w:r>
      <w:r w:rsidR="00521F2A">
        <w:rPr>
          <w:rFonts w:ascii="Times New Roman" w:hAnsi="Times New Roman" w:cs="Times New Roman"/>
        </w:rPr>
        <w:t xml:space="preserve"> multiple criteria decision making (MCDM) types of DEA models such as those for inventory classification (i.e., </w:t>
      </w:r>
      <w:proofErr w:type="spellStart"/>
      <w:r w:rsidR="00521F2A">
        <w:rPr>
          <w:rFonts w:ascii="Times New Roman" w:hAnsi="Times New Roman" w:cs="Times New Roman"/>
        </w:rPr>
        <w:t>Ramanathan</w:t>
      </w:r>
      <w:proofErr w:type="spellEnd"/>
      <w:r w:rsidR="00521F2A">
        <w:rPr>
          <w:rFonts w:ascii="Times New Roman" w:hAnsi="Times New Roman" w:cs="Times New Roman"/>
        </w:rPr>
        <w:t xml:space="preserve">, 2006; Zhou and Fan, 2007; </w:t>
      </w:r>
      <w:proofErr w:type="spellStart"/>
      <w:r w:rsidR="00521F2A">
        <w:rPr>
          <w:rFonts w:ascii="Times New Roman" w:hAnsi="Times New Roman" w:cs="Times New Roman"/>
        </w:rPr>
        <w:t>Hadi-Vencheh</w:t>
      </w:r>
      <w:proofErr w:type="spellEnd"/>
      <w:r w:rsidR="00521F2A">
        <w:rPr>
          <w:rFonts w:ascii="Times New Roman" w:hAnsi="Times New Roman" w:cs="Times New Roman"/>
        </w:rPr>
        <w:t xml:space="preserve">, 2010; Chen, 2011), supplier selection (i.e., </w:t>
      </w:r>
      <w:proofErr w:type="spellStart"/>
      <w:r w:rsidR="00521F2A">
        <w:rPr>
          <w:rFonts w:ascii="Times New Roman" w:hAnsi="Times New Roman" w:cs="Times New Roman"/>
        </w:rPr>
        <w:t>Seydel</w:t>
      </w:r>
      <w:proofErr w:type="spellEnd"/>
      <w:r w:rsidR="00521F2A">
        <w:rPr>
          <w:rFonts w:ascii="Times New Roman" w:hAnsi="Times New Roman" w:cs="Times New Roman"/>
        </w:rPr>
        <w:t xml:space="preserve">, 2006; </w:t>
      </w:r>
      <w:proofErr w:type="spellStart"/>
      <w:r w:rsidR="00521F2A">
        <w:rPr>
          <w:rFonts w:ascii="Times New Roman" w:hAnsi="Times New Roman" w:cs="Times New Roman"/>
        </w:rPr>
        <w:t>Sevkli</w:t>
      </w:r>
      <w:proofErr w:type="spellEnd"/>
      <w:r w:rsidR="00521F2A">
        <w:rPr>
          <w:rFonts w:ascii="Times New Roman" w:hAnsi="Times New Roman" w:cs="Times New Roman"/>
        </w:rPr>
        <w:t xml:space="preserve"> </w:t>
      </w:r>
      <w:r w:rsidR="00521F2A" w:rsidRPr="00B50149">
        <w:rPr>
          <w:rFonts w:ascii="Times New Roman" w:hAnsi="Times New Roman" w:cs="Times New Roman"/>
          <w:i/>
        </w:rPr>
        <w:t>et al</w:t>
      </w:r>
      <w:r w:rsidR="00521F2A">
        <w:rPr>
          <w:rFonts w:ascii="Times New Roman" w:hAnsi="Times New Roman" w:cs="Times New Roman"/>
        </w:rPr>
        <w:t>., 2007), and service quality evaluation (i.e., Lee and Kim, 2014; Charles and Kumar, 2014).</w:t>
      </w:r>
      <w:r w:rsidR="00807FDA">
        <w:rPr>
          <w:rFonts w:ascii="Times New Roman" w:hAnsi="Times New Roman" w:cs="Times New Roman"/>
        </w:rPr>
        <w:t xml:space="preserve">  </w:t>
      </w:r>
      <w:r w:rsidR="00950150">
        <w:rPr>
          <w:rFonts w:ascii="Times New Roman" w:hAnsi="Times New Roman" w:cs="Times New Roman"/>
        </w:rPr>
        <w:t xml:space="preserve">  </w:t>
      </w:r>
      <w:r w:rsidR="00E82FF8">
        <w:rPr>
          <w:rFonts w:ascii="Times New Roman" w:hAnsi="Times New Roman" w:cs="Times New Roman"/>
        </w:rPr>
        <w:t xml:space="preserve">  </w:t>
      </w:r>
    </w:p>
    <w:p w14:paraId="4992C9F2" w14:textId="77777777" w:rsidR="00632FEC" w:rsidRDefault="00632FEC" w:rsidP="00632FEC">
      <w:pPr>
        <w:jc w:val="center"/>
        <w:rPr>
          <w:rFonts w:ascii="Times New Roman" w:hAnsi="Times New Roman" w:cs="Times New Roman"/>
        </w:rPr>
      </w:pPr>
    </w:p>
    <w:p w14:paraId="1F5A1E8F" w14:textId="4BA2F731" w:rsidR="00632FEC" w:rsidRPr="00241AE9" w:rsidRDefault="002467ED" w:rsidP="00632FEC">
      <w:pPr>
        <w:rPr>
          <w:rFonts w:ascii="Times New Roman" w:hAnsi="Times New Roman" w:cs="Times New Roman"/>
          <w:b/>
        </w:rPr>
      </w:pPr>
      <w:r>
        <w:rPr>
          <w:rFonts w:ascii="Times New Roman" w:hAnsi="Times New Roman" w:cs="Times New Roman"/>
          <w:b/>
        </w:rPr>
        <w:t xml:space="preserve">3. </w:t>
      </w:r>
      <w:r w:rsidR="00CE5285">
        <w:rPr>
          <w:rFonts w:ascii="Times New Roman" w:hAnsi="Times New Roman" w:cs="Times New Roman"/>
          <w:b/>
        </w:rPr>
        <w:t>A Case Study</w:t>
      </w:r>
    </w:p>
    <w:p w14:paraId="5F531F07" w14:textId="77777777" w:rsidR="00632FEC" w:rsidRDefault="00632FEC" w:rsidP="00632FEC">
      <w:pPr>
        <w:rPr>
          <w:rFonts w:ascii="Times New Roman" w:hAnsi="Times New Roman" w:cs="Times New Roman"/>
        </w:rPr>
      </w:pPr>
    </w:p>
    <w:p w14:paraId="12DA2989" w14:textId="0EB6667F" w:rsidR="00632FEC" w:rsidRPr="002D218B" w:rsidRDefault="00035DCF" w:rsidP="00632FEC">
      <w:pPr>
        <w:spacing w:line="360" w:lineRule="auto"/>
        <w:jc w:val="both"/>
        <w:rPr>
          <w:rFonts w:ascii="Times New Roman" w:hAnsi="Times New Roman" w:cs="Times New Roman"/>
        </w:rPr>
      </w:pPr>
      <w:r>
        <w:rPr>
          <w:rFonts w:ascii="Times New Roman" w:hAnsi="Times New Roman" w:cs="Times New Roman"/>
        </w:rPr>
        <w:t>In this section we rely on t</w:t>
      </w:r>
      <w:r w:rsidR="00FA478B">
        <w:rPr>
          <w:rFonts w:ascii="Times New Roman" w:hAnsi="Times New Roman" w:cs="Times New Roman"/>
        </w:rPr>
        <w:t>he above results</w:t>
      </w:r>
      <w:r>
        <w:rPr>
          <w:rFonts w:ascii="Times New Roman" w:hAnsi="Times New Roman" w:cs="Times New Roman"/>
        </w:rPr>
        <w:t xml:space="preserve"> to assess performance at the department level based on the individual achievements of its faculty members</w:t>
      </w:r>
      <w:r w:rsidR="00FA478B">
        <w:rPr>
          <w:rFonts w:ascii="Times New Roman" w:hAnsi="Times New Roman" w:cs="Times New Roman"/>
        </w:rPr>
        <w:t xml:space="preserve"> by using</w:t>
      </w:r>
      <w:r>
        <w:rPr>
          <w:rFonts w:ascii="Times New Roman" w:hAnsi="Times New Roman" w:cs="Times New Roman"/>
        </w:rPr>
        <w:t xml:space="preserve"> a rather simple research productivity in</w:t>
      </w:r>
      <w:r w:rsidR="00FA478B">
        <w:rPr>
          <w:rFonts w:ascii="Times New Roman" w:hAnsi="Times New Roman" w:cs="Times New Roman"/>
        </w:rPr>
        <w:t>dicator (RPI) consisting of two sub-indicators, which correspond</w:t>
      </w:r>
      <w:r>
        <w:rPr>
          <w:rFonts w:ascii="Times New Roman" w:hAnsi="Times New Roman" w:cs="Times New Roman"/>
        </w:rPr>
        <w:t xml:space="preserve"> to two different types of publications.  The data refer to the department of Economics at the University of Macedonia, Greece during the period 2000-2006.  </w:t>
      </w:r>
      <w:r w:rsidR="000A5914">
        <w:rPr>
          <w:rFonts w:ascii="Times New Roman" w:hAnsi="Times New Roman" w:cs="Times New Roman"/>
        </w:rPr>
        <w:t xml:space="preserve">Each </w:t>
      </w:r>
      <w:r>
        <w:rPr>
          <w:rFonts w:ascii="Times New Roman" w:hAnsi="Times New Roman" w:cs="Times New Roman"/>
        </w:rPr>
        <w:t xml:space="preserve">of its 25 </w:t>
      </w:r>
      <w:r w:rsidR="000A5914">
        <w:rPr>
          <w:rFonts w:ascii="Times New Roman" w:hAnsi="Times New Roman" w:cs="Times New Roman"/>
        </w:rPr>
        <w:t>faculty member</w:t>
      </w:r>
      <w:r>
        <w:rPr>
          <w:rFonts w:ascii="Times New Roman" w:hAnsi="Times New Roman" w:cs="Times New Roman"/>
        </w:rPr>
        <w:t>s</w:t>
      </w:r>
      <w:r w:rsidR="000A5914">
        <w:rPr>
          <w:rFonts w:ascii="Times New Roman" w:hAnsi="Times New Roman" w:cs="Times New Roman"/>
        </w:rPr>
        <w:t xml:space="preserve"> is viewed as a “helmsman” endowed with one u</w:t>
      </w:r>
      <w:r w:rsidR="00FA478B">
        <w:rPr>
          <w:rFonts w:ascii="Times New Roman" w:hAnsi="Times New Roman" w:cs="Times New Roman"/>
        </w:rPr>
        <w:t>nit of the single input</w:t>
      </w:r>
      <w:r w:rsidR="00624700">
        <w:rPr>
          <w:rFonts w:ascii="Times New Roman" w:hAnsi="Times New Roman" w:cs="Times New Roman"/>
        </w:rPr>
        <w:t xml:space="preserve"> that is used to produce</w:t>
      </w:r>
      <w:r w:rsidR="000A5914">
        <w:rPr>
          <w:rFonts w:ascii="Times New Roman" w:hAnsi="Times New Roman" w:cs="Times New Roman"/>
        </w:rPr>
        <w:t xml:space="preserve"> </w:t>
      </w:r>
      <w:r w:rsidR="009577DB">
        <w:rPr>
          <w:rFonts w:ascii="Times New Roman" w:hAnsi="Times New Roman" w:cs="Times New Roman"/>
        </w:rPr>
        <w:t xml:space="preserve">two outputs, </w:t>
      </w:r>
      <w:r w:rsidR="00624700">
        <w:rPr>
          <w:rFonts w:ascii="Times New Roman" w:hAnsi="Times New Roman" w:cs="Times New Roman"/>
        </w:rPr>
        <w:t>namely, journal articles and</w:t>
      </w:r>
      <w:r w:rsidR="00914ED9" w:rsidRPr="002D218B">
        <w:rPr>
          <w:rFonts w:ascii="Times New Roman" w:hAnsi="Times New Roman" w:cs="Times New Roman"/>
        </w:rPr>
        <w:t xml:space="preserve"> oth</w:t>
      </w:r>
      <w:r w:rsidR="00914ED9">
        <w:rPr>
          <w:rFonts w:ascii="Times New Roman" w:hAnsi="Times New Roman" w:cs="Times New Roman"/>
        </w:rPr>
        <w:t>er publications</w:t>
      </w:r>
      <w:r w:rsidR="00FA03E6">
        <w:rPr>
          <w:rFonts w:ascii="Times New Roman" w:hAnsi="Times New Roman" w:cs="Times New Roman"/>
        </w:rPr>
        <w:t xml:space="preserve">. </w:t>
      </w:r>
      <w:r w:rsidR="009577DB">
        <w:rPr>
          <w:rFonts w:ascii="Times New Roman" w:hAnsi="Times New Roman" w:cs="Times New Roman"/>
        </w:rPr>
        <w:t xml:space="preserve"> </w:t>
      </w:r>
      <w:r w:rsidR="00632FEC">
        <w:rPr>
          <w:rFonts w:ascii="Times New Roman" w:hAnsi="Times New Roman" w:cs="Times New Roman"/>
        </w:rPr>
        <w:t xml:space="preserve">As </w:t>
      </w:r>
      <w:r w:rsidR="00FA03E6">
        <w:rPr>
          <w:rFonts w:ascii="Times New Roman" w:hAnsi="Times New Roman" w:cs="Times New Roman"/>
        </w:rPr>
        <w:t>“</w:t>
      </w:r>
      <w:r w:rsidR="00632FEC">
        <w:rPr>
          <w:rFonts w:ascii="Times New Roman" w:hAnsi="Times New Roman" w:cs="Times New Roman"/>
        </w:rPr>
        <w:t>journal articles</w:t>
      </w:r>
      <w:r w:rsidR="00FA03E6">
        <w:rPr>
          <w:rFonts w:ascii="Times New Roman" w:hAnsi="Times New Roman" w:cs="Times New Roman"/>
        </w:rPr>
        <w:t>”</w:t>
      </w:r>
      <w:r w:rsidR="009577DB">
        <w:rPr>
          <w:rFonts w:ascii="Times New Roman" w:hAnsi="Times New Roman" w:cs="Times New Roman"/>
        </w:rPr>
        <w:t xml:space="preserve"> we consider</w:t>
      </w:r>
      <w:r w:rsidR="00632FEC">
        <w:rPr>
          <w:rFonts w:ascii="Times New Roman" w:hAnsi="Times New Roman" w:cs="Times New Roman"/>
        </w:rPr>
        <w:t xml:space="preserve"> all publications in outlets referenced in the Journal of Economic Literature and as </w:t>
      </w:r>
      <w:r w:rsidR="00FA03E6">
        <w:rPr>
          <w:rFonts w:ascii="Times New Roman" w:hAnsi="Times New Roman" w:cs="Times New Roman"/>
        </w:rPr>
        <w:t>“</w:t>
      </w:r>
      <w:r w:rsidR="00632FEC">
        <w:rPr>
          <w:rFonts w:ascii="Times New Roman" w:hAnsi="Times New Roman" w:cs="Times New Roman"/>
        </w:rPr>
        <w:t>other publications</w:t>
      </w:r>
      <w:r w:rsidR="00FA03E6">
        <w:rPr>
          <w:rFonts w:ascii="Times New Roman" w:hAnsi="Times New Roman" w:cs="Times New Roman"/>
        </w:rPr>
        <w:t>”,</w:t>
      </w:r>
      <w:r w:rsidR="00632FEC">
        <w:rPr>
          <w:rFonts w:ascii="Times New Roman" w:hAnsi="Times New Roman" w:cs="Times New Roman"/>
        </w:rPr>
        <w:t xml:space="preserve"> papers published in journal</w:t>
      </w:r>
      <w:r w:rsidR="008A3A77">
        <w:rPr>
          <w:rFonts w:ascii="Times New Roman" w:hAnsi="Times New Roman" w:cs="Times New Roman"/>
        </w:rPr>
        <w:t>s</w:t>
      </w:r>
      <w:r w:rsidR="00632FEC">
        <w:rPr>
          <w:rFonts w:ascii="Times New Roman" w:hAnsi="Times New Roman" w:cs="Times New Roman"/>
        </w:rPr>
        <w:t xml:space="preserve"> not referenced in the Journal of Economic Literature, chapters in books</w:t>
      </w:r>
      <w:r w:rsidR="00FA478B">
        <w:rPr>
          <w:rFonts w:ascii="Times New Roman" w:hAnsi="Times New Roman" w:cs="Times New Roman"/>
        </w:rPr>
        <w:t>,</w:t>
      </w:r>
      <w:r w:rsidR="00632FEC">
        <w:rPr>
          <w:rFonts w:ascii="Times New Roman" w:hAnsi="Times New Roman" w:cs="Times New Roman"/>
        </w:rPr>
        <w:t xml:space="preserve"> and edited</w:t>
      </w:r>
      <w:r w:rsidR="00FA03E6">
        <w:rPr>
          <w:rFonts w:ascii="Times New Roman" w:hAnsi="Times New Roman" w:cs="Times New Roman"/>
        </w:rPr>
        <w:t xml:space="preserve"> book</w:t>
      </w:r>
      <w:r w:rsidR="00632FEC">
        <w:rPr>
          <w:rFonts w:ascii="Times New Roman" w:hAnsi="Times New Roman" w:cs="Times New Roman"/>
        </w:rPr>
        <w:t xml:space="preserve"> volumes.</w:t>
      </w:r>
      <w:r w:rsidR="00624700">
        <w:rPr>
          <w:rStyle w:val="EndnoteReference"/>
          <w:rFonts w:ascii="Times New Roman" w:hAnsi="Times New Roman" w:cs="Times New Roman"/>
        </w:rPr>
        <w:endnoteReference w:id="9"/>
      </w:r>
      <w:r w:rsidR="00632FEC">
        <w:rPr>
          <w:rFonts w:ascii="Times New Roman" w:hAnsi="Times New Roman" w:cs="Times New Roman"/>
        </w:rPr>
        <w:t xml:space="preserve"> </w:t>
      </w:r>
      <w:r w:rsidR="00624700">
        <w:rPr>
          <w:rFonts w:ascii="Times New Roman" w:hAnsi="Times New Roman" w:cs="Times New Roman"/>
        </w:rPr>
        <w:t xml:space="preserve"> </w:t>
      </w:r>
      <w:r w:rsidR="00632FEC">
        <w:rPr>
          <w:rFonts w:ascii="Times New Roman" w:hAnsi="Times New Roman" w:cs="Times New Roman"/>
        </w:rPr>
        <w:t xml:space="preserve">All </w:t>
      </w:r>
      <w:r w:rsidR="00624700">
        <w:rPr>
          <w:rFonts w:ascii="Times New Roman" w:hAnsi="Times New Roman" w:cs="Times New Roman"/>
        </w:rPr>
        <w:t xml:space="preserve">the relevant </w:t>
      </w:r>
      <w:r w:rsidR="00632FEC">
        <w:rPr>
          <w:rFonts w:ascii="Times New Roman" w:hAnsi="Times New Roman" w:cs="Times New Roman"/>
        </w:rPr>
        <w:t xml:space="preserve">data are taken from the </w:t>
      </w:r>
      <w:r w:rsidR="00624700">
        <w:rPr>
          <w:rFonts w:ascii="Times New Roman" w:hAnsi="Times New Roman" w:cs="Times New Roman"/>
        </w:rPr>
        <w:t xml:space="preserve">University of Macedonia’s </w:t>
      </w:r>
      <w:r w:rsidR="008914E8">
        <w:rPr>
          <w:rFonts w:ascii="Times New Roman" w:hAnsi="Times New Roman" w:cs="Times New Roman"/>
          <w:i/>
        </w:rPr>
        <w:t>Guide of</w:t>
      </w:r>
      <w:r w:rsidR="00632FEC" w:rsidRPr="00152669">
        <w:rPr>
          <w:rFonts w:ascii="Times New Roman" w:hAnsi="Times New Roman" w:cs="Times New Roman"/>
          <w:i/>
        </w:rPr>
        <w:t xml:space="preserve"> Published Research Work</w:t>
      </w:r>
      <w:r w:rsidR="00632FEC">
        <w:rPr>
          <w:rFonts w:ascii="Times New Roman" w:hAnsi="Times New Roman" w:cs="Times New Roman"/>
        </w:rPr>
        <w:t xml:space="preserve"> (2009).</w:t>
      </w:r>
    </w:p>
    <w:p w14:paraId="284777B2" w14:textId="15694358" w:rsidR="00CD413F" w:rsidRDefault="00752738" w:rsidP="00632FEC">
      <w:pPr>
        <w:spacing w:line="360" w:lineRule="auto"/>
        <w:jc w:val="both"/>
        <w:rPr>
          <w:rFonts w:ascii="Times New Roman" w:hAnsi="Times New Roman" w:cs="Times New Roman"/>
        </w:rPr>
      </w:pPr>
      <w:r>
        <w:rPr>
          <w:rFonts w:ascii="Times New Roman" w:hAnsi="Times New Roman" w:cs="Times New Roman"/>
        </w:rPr>
        <w:tab/>
        <w:t xml:space="preserve">In </w:t>
      </w:r>
      <w:r w:rsidR="00283C1A">
        <w:rPr>
          <w:rFonts w:ascii="Times New Roman" w:hAnsi="Times New Roman" w:cs="Times New Roman"/>
        </w:rPr>
        <w:t>Figures 1 and 2</w:t>
      </w:r>
      <w:r w:rsidR="00624700">
        <w:rPr>
          <w:rFonts w:ascii="Times New Roman" w:hAnsi="Times New Roman" w:cs="Times New Roman"/>
        </w:rPr>
        <w:t xml:space="preserve"> </w:t>
      </w:r>
      <w:r>
        <w:rPr>
          <w:rFonts w:ascii="Times New Roman" w:hAnsi="Times New Roman" w:cs="Times New Roman"/>
        </w:rPr>
        <w:t xml:space="preserve">we </w:t>
      </w:r>
      <w:r w:rsidR="00624700">
        <w:rPr>
          <w:rFonts w:ascii="Times New Roman" w:hAnsi="Times New Roman" w:cs="Times New Roman"/>
        </w:rPr>
        <w:t>portray</w:t>
      </w:r>
      <w:r w:rsidR="00632FEC">
        <w:rPr>
          <w:rFonts w:ascii="Times New Roman" w:hAnsi="Times New Roman" w:cs="Times New Roman"/>
        </w:rPr>
        <w:t xml:space="preserve"> </w:t>
      </w:r>
      <w:r w:rsidR="008914E8">
        <w:rPr>
          <w:rFonts w:ascii="Times New Roman" w:hAnsi="Times New Roman" w:cs="Times New Roman"/>
        </w:rPr>
        <w:t xml:space="preserve">respectively </w:t>
      </w:r>
      <w:r w:rsidR="00632FEC">
        <w:rPr>
          <w:rFonts w:ascii="Times New Roman" w:hAnsi="Times New Roman" w:cs="Times New Roman"/>
        </w:rPr>
        <w:t xml:space="preserve">the average </w:t>
      </w:r>
      <w:r w:rsidR="00FA03E6">
        <w:rPr>
          <w:rFonts w:ascii="Times New Roman" w:hAnsi="Times New Roman" w:cs="Times New Roman"/>
        </w:rPr>
        <w:t>annual number of publications</w:t>
      </w:r>
      <w:r w:rsidR="00632FEC">
        <w:rPr>
          <w:rFonts w:ascii="Times New Roman" w:hAnsi="Times New Roman" w:cs="Times New Roman"/>
        </w:rPr>
        <w:t xml:space="preserve"> and the average number of publications per faculty member over the period 2000-2006. </w:t>
      </w:r>
      <w:r w:rsidR="001C602D">
        <w:rPr>
          <w:rFonts w:ascii="Times New Roman" w:hAnsi="Times New Roman" w:cs="Times New Roman"/>
        </w:rPr>
        <w:t xml:space="preserve"> O</w:t>
      </w:r>
      <w:r w:rsidR="00632FEC">
        <w:rPr>
          <w:rFonts w:ascii="Times New Roman" w:hAnsi="Times New Roman" w:cs="Times New Roman"/>
        </w:rPr>
        <w:t>n average</w:t>
      </w:r>
      <w:r w:rsidR="001C602D">
        <w:rPr>
          <w:rFonts w:ascii="Times New Roman" w:hAnsi="Times New Roman" w:cs="Times New Roman"/>
        </w:rPr>
        <w:t>,</w:t>
      </w:r>
      <w:r w:rsidR="00632FEC">
        <w:rPr>
          <w:rFonts w:ascii="Times New Roman" w:hAnsi="Times New Roman" w:cs="Times New Roman"/>
        </w:rPr>
        <w:t xml:space="preserve"> each faculty membe</w:t>
      </w:r>
      <w:r w:rsidR="00624700">
        <w:rPr>
          <w:rFonts w:ascii="Times New Roman" w:hAnsi="Times New Roman" w:cs="Times New Roman"/>
        </w:rPr>
        <w:t>r</w:t>
      </w:r>
      <w:r w:rsidR="00632FEC">
        <w:rPr>
          <w:rFonts w:ascii="Times New Roman" w:hAnsi="Times New Roman" w:cs="Times New Roman"/>
        </w:rPr>
        <w:t xml:space="preserve"> pu</w:t>
      </w:r>
      <w:r w:rsidR="00624700">
        <w:rPr>
          <w:rFonts w:ascii="Times New Roman" w:hAnsi="Times New Roman" w:cs="Times New Roman"/>
        </w:rPr>
        <w:t>blished almost one journal article</w:t>
      </w:r>
      <w:r w:rsidR="00632FEC">
        <w:rPr>
          <w:rFonts w:ascii="Times New Roman" w:hAnsi="Times New Roman" w:cs="Times New Roman"/>
        </w:rPr>
        <w:t xml:space="preserve"> per year during the period 2000-2003</w:t>
      </w:r>
      <w:r w:rsidR="001C602D">
        <w:rPr>
          <w:rFonts w:ascii="Times New Roman" w:hAnsi="Times New Roman" w:cs="Times New Roman"/>
        </w:rPr>
        <w:t xml:space="preserve"> while the average publicat</w:t>
      </w:r>
      <w:r w:rsidR="00CD413F">
        <w:rPr>
          <w:rFonts w:ascii="Times New Roman" w:hAnsi="Times New Roman" w:cs="Times New Roman"/>
        </w:rPr>
        <w:t>ion record improved a little</w:t>
      </w:r>
      <w:r w:rsidR="001C602D">
        <w:rPr>
          <w:rFonts w:ascii="Times New Roman" w:hAnsi="Times New Roman" w:cs="Times New Roman"/>
        </w:rPr>
        <w:t xml:space="preserve"> during the period 2004-2006 and exceeded one (see Figure 1)</w:t>
      </w:r>
      <w:r w:rsidR="00632FEC">
        <w:rPr>
          <w:rFonts w:ascii="Times New Roman" w:hAnsi="Times New Roman" w:cs="Times New Roman"/>
        </w:rPr>
        <w:t>.</w:t>
      </w:r>
      <w:r w:rsidR="001C602D">
        <w:rPr>
          <w:rStyle w:val="EndnoteReference"/>
          <w:rFonts w:ascii="Times New Roman" w:hAnsi="Times New Roman" w:cs="Times New Roman"/>
        </w:rPr>
        <w:endnoteReference w:id="10"/>
      </w:r>
      <w:r w:rsidR="00632FEC">
        <w:rPr>
          <w:rFonts w:ascii="Times New Roman" w:hAnsi="Times New Roman" w:cs="Times New Roman"/>
        </w:rPr>
        <w:t xml:space="preserve"> </w:t>
      </w:r>
      <w:r w:rsidR="00CD413F">
        <w:rPr>
          <w:rFonts w:ascii="Times New Roman" w:hAnsi="Times New Roman" w:cs="Times New Roman"/>
        </w:rPr>
        <w:t xml:space="preserve"> </w:t>
      </w:r>
      <w:r w:rsidR="00632FEC">
        <w:rPr>
          <w:rFonts w:ascii="Times New Roman" w:hAnsi="Times New Roman" w:cs="Times New Roman"/>
        </w:rPr>
        <w:t>The corresponding figures for other publications are well below one fo</w:t>
      </w:r>
      <w:r w:rsidR="00FA478B">
        <w:rPr>
          <w:rFonts w:ascii="Times New Roman" w:hAnsi="Times New Roman" w:cs="Times New Roman"/>
        </w:rPr>
        <w:t>r the whole period, with a tendency</w:t>
      </w:r>
      <w:r w:rsidR="00632FEC">
        <w:rPr>
          <w:rFonts w:ascii="Times New Roman" w:hAnsi="Times New Roman" w:cs="Times New Roman"/>
        </w:rPr>
        <w:t xml:space="preserve"> to decline significantly in the last two years. </w:t>
      </w:r>
      <w:r w:rsidR="001C602D">
        <w:rPr>
          <w:rFonts w:ascii="Times New Roman" w:hAnsi="Times New Roman" w:cs="Times New Roman"/>
        </w:rPr>
        <w:t xml:space="preserve"> However, both types</w:t>
      </w:r>
      <w:r w:rsidR="00632FEC">
        <w:rPr>
          <w:rFonts w:ascii="Times New Roman" w:hAnsi="Times New Roman" w:cs="Times New Roman"/>
        </w:rPr>
        <w:t xml:space="preserve"> of publications ar</w:t>
      </w:r>
      <w:r w:rsidR="008A3A77">
        <w:rPr>
          <w:rFonts w:ascii="Times New Roman" w:hAnsi="Times New Roman" w:cs="Times New Roman"/>
        </w:rPr>
        <w:t>e unevenly distributed among</w:t>
      </w:r>
      <w:r w:rsidR="00632FEC">
        <w:rPr>
          <w:rFonts w:ascii="Times New Roman" w:hAnsi="Times New Roman" w:cs="Times New Roman"/>
        </w:rPr>
        <w:t xml:space="preserve"> faculty members</w:t>
      </w:r>
      <w:r w:rsidR="001C602D">
        <w:rPr>
          <w:rFonts w:ascii="Times New Roman" w:hAnsi="Times New Roman" w:cs="Times New Roman"/>
        </w:rPr>
        <w:t xml:space="preserve"> (see Figure 2)</w:t>
      </w:r>
      <w:r w:rsidR="00632FEC">
        <w:rPr>
          <w:rFonts w:ascii="Times New Roman" w:hAnsi="Times New Roman" w:cs="Times New Roman"/>
        </w:rPr>
        <w:t xml:space="preserve">.  There </w:t>
      </w:r>
      <w:r w:rsidR="00FA03E6">
        <w:rPr>
          <w:rFonts w:ascii="Times New Roman" w:hAnsi="Times New Roman" w:cs="Times New Roman"/>
        </w:rPr>
        <w:t xml:space="preserve">are </w:t>
      </w:r>
      <w:r w:rsidR="00632FEC">
        <w:rPr>
          <w:rFonts w:ascii="Times New Roman" w:hAnsi="Times New Roman" w:cs="Times New Roman"/>
        </w:rPr>
        <w:t xml:space="preserve">few faculty members with satisfactory achievements in </w:t>
      </w:r>
      <w:r w:rsidR="001C602D">
        <w:rPr>
          <w:rFonts w:ascii="Times New Roman" w:hAnsi="Times New Roman" w:cs="Times New Roman"/>
        </w:rPr>
        <w:t xml:space="preserve">terms of </w:t>
      </w:r>
      <w:r w:rsidR="00632FEC">
        <w:rPr>
          <w:rFonts w:ascii="Times New Roman" w:hAnsi="Times New Roman" w:cs="Times New Roman"/>
        </w:rPr>
        <w:t>journal article publications (more than two and a half on average per year) and one faculty member with similar performance in terms of oth</w:t>
      </w:r>
      <w:r w:rsidR="00FA03E6">
        <w:rPr>
          <w:rFonts w:ascii="Times New Roman" w:hAnsi="Times New Roman" w:cs="Times New Roman"/>
        </w:rPr>
        <w:t xml:space="preserve">er publications but most of </w:t>
      </w:r>
      <w:r w:rsidR="001C602D">
        <w:rPr>
          <w:rFonts w:ascii="Times New Roman" w:hAnsi="Times New Roman" w:cs="Times New Roman"/>
        </w:rPr>
        <w:t xml:space="preserve">the </w:t>
      </w:r>
      <w:r w:rsidR="00FA03E6">
        <w:rPr>
          <w:rFonts w:ascii="Times New Roman" w:hAnsi="Times New Roman" w:cs="Times New Roman"/>
        </w:rPr>
        <w:t>faculty members</w:t>
      </w:r>
      <w:r w:rsidR="00632FEC">
        <w:rPr>
          <w:rFonts w:ascii="Times New Roman" w:hAnsi="Times New Roman" w:cs="Times New Roman"/>
        </w:rPr>
        <w:t xml:space="preserve"> are </w:t>
      </w:r>
      <w:r w:rsidR="00FA03E6">
        <w:rPr>
          <w:rFonts w:ascii="Times New Roman" w:hAnsi="Times New Roman" w:cs="Times New Roman"/>
        </w:rPr>
        <w:t xml:space="preserve">more or less </w:t>
      </w:r>
      <w:r w:rsidR="00632FEC">
        <w:rPr>
          <w:rFonts w:ascii="Times New Roman" w:hAnsi="Times New Roman" w:cs="Times New Roman"/>
        </w:rPr>
        <w:t>around the departmental averag</w:t>
      </w:r>
      <w:r w:rsidR="008914E8">
        <w:rPr>
          <w:rFonts w:ascii="Times New Roman" w:hAnsi="Times New Roman" w:cs="Times New Roman"/>
        </w:rPr>
        <w:t>e</w:t>
      </w:r>
      <w:r w:rsidR="001C602D">
        <w:rPr>
          <w:rFonts w:ascii="Times New Roman" w:hAnsi="Times New Roman" w:cs="Times New Roman"/>
        </w:rPr>
        <w:t>s</w:t>
      </w:r>
      <w:r w:rsidR="00CD413F">
        <w:rPr>
          <w:rFonts w:ascii="Times New Roman" w:hAnsi="Times New Roman" w:cs="Times New Roman"/>
        </w:rPr>
        <w:t xml:space="preserve">.  </w:t>
      </w:r>
    </w:p>
    <w:p w14:paraId="5F233AEB" w14:textId="4444B438" w:rsidR="00632FEC" w:rsidRDefault="00CD413F" w:rsidP="00CD413F">
      <w:pPr>
        <w:spacing w:line="360" w:lineRule="auto"/>
        <w:ind w:firstLine="720"/>
        <w:jc w:val="both"/>
        <w:rPr>
          <w:rFonts w:ascii="Times New Roman" w:hAnsi="Times New Roman" w:cs="Times New Roman"/>
        </w:rPr>
      </w:pPr>
      <w:r>
        <w:rPr>
          <w:rFonts w:ascii="Times New Roman" w:hAnsi="Times New Roman" w:cs="Times New Roman"/>
        </w:rPr>
        <w:t>Before</w:t>
      </w:r>
      <w:r w:rsidR="00FA478B">
        <w:rPr>
          <w:rFonts w:ascii="Times New Roman" w:hAnsi="Times New Roman" w:cs="Times New Roman"/>
        </w:rPr>
        <w:t xml:space="preserve"> estimating the model we have</w:t>
      </w:r>
      <w:r>
        <w:rPr>
          <w:rFonts w:ascii="Times New Roman" w:hAnsi="Times New Roman" w:cs="Times New Roman"/>
        </w:rPr>
        <w:t xml:space="preserve"> to make two adjustments to our data set.  As we can see from Figure 2</w:t>
      </w:r>
      <w:r w:rsidR="00860ACD">
        <w:rPr>
          <w:rFonts w:ascii="Times New Roman" w:hAnsi="Times New Roman" w:cs="Times New Roman"/>
        </w:rPr>
        <w:t xml:space="preserve"> there were</w:t>
      </w:r>
      <w:r w:rsidR="00632FEC">
        <w:rPr>
          <w:rFonts w:ascii="Times New Roman" w:hAnsi="Times New Roman" w:cs="Times New Roman"/>
        </w:rPr>
        <w:t xml:space="preserve"> two faculty members that had no journal article</w:t>
      </w:r>
      <w:r w:rsidR="001C602D">
        <w:rPr>
          <w:rFonts w:ascii="Times New Roman" w:hAnsi="Times New Roman" w:cs="Times New Roman"/>
        </w:rPr>
        <w:t>s</w:t>
      </w:r>
      <w:r w:rsidR="00632FEC">
        <w:rPr>
          <w:rFonts w:ascii="Times New Roman" w:hAnsi="Times New Roman" w:cs="Times New Roman"/>
        </w:rPr>
        <w:t xml:space="preserve"> published during the whole per</w:t>
      </w:r>
      <w:r w:rsidR="00FA478B">
        <w:rPr>
          <w:rFonts w:ascii="Times New Roman" w:hAnsi="Times New Roman" w:cs="Times New Roman"/>
        </w:rPr>
        <w:t>iod under consideration and</w:t>
      </w:r>
      <w:r w:rsidR="00632FEC">
        <w:rPr>
          <w:rFonts w:ascii="Times New Roman" w:hAnsi="Times New Roman" w:cs="Times New Roman"/>
        </w:rPr>
        <w:t xml:space="preserve"> only one other publication each.</w:t>
      </w:r>
      <w:r w:rsidR="00FA03E6">
        <w:rPr>
          <w:rFonts w:ascii="Times New Roman" w:hAnsi="Times New Roman" w:cs="Times New Roman"/>
        </w:rPr>
        <w:t xml:space="preserve"> </w:t>
      </w:r>
      <w:r>
        <w:rPr>
          <w:rFonts w:ascii="Times New Roman" w:hAnsi="Times New Roman" w:cs="Times New Roman"/>
        </w:rPr>
        <w:t xml:space="preserve"> These </w:t>
      </w:r>
      <w:r w:rsidR="00315809">
        <w:rPr>
          <w:rFonts w:ascii="Times New Roman" w:hAnsi="Times New Roman" w:cs="Times New Roman"/>
        </w:rPr>
        <w:t>are expected to</w:t>
      </w:r>
      <w:r>
        <w:rPr>
          <w:rFonts w:ascii="Times New Roman" w:hAnsi="Times New Roman" w:cs="Times New Roman"/>
        </w:rPr>
        <w:t xml:space="preserve"> cause problem</w:t>
      </w:r>
      <w:r w:rsidR="00315809">
        <w:rPr>
          <w:rFonts w:ascii="Times New Roman" w:hAnsi="Times New Roman" w:cs="Times New Roman"/>
        </w:rPr>
        <w:t>s in estimating</w:t>
      </w:r>
      <w:r>
        <w:rPr>
          <w:rFonts w:ascii="Times New Roman" w:hAnsi="Times New Roman" w:cs="Times New Roman"/>
        </w:rPr>
        <w:t xml:space="preserve"> (1) or (4) as for all but one year </w:t>
      </w:r>
      <w:r w:rsidR="00FA478B">
        <w:rPr>
          <w:rFonts w:ascii="Times New Roman" w:hAnsi="Times New Roman" w:cs="Times New Roman"/>
        </w:rPr>
        <w:t xml:space="preserve">they </w:t>
      </w:r>
      <w:r>
        <w:rPr>
          <w:rFonts w:ascii="Times New Roman" w:hAnsi="Times New Roman" w:cs="Times New Roman"/>
        </w:rPr>
        <w:t xml:space="preserve">violate the minimum data requirement, namely that of having annually at least one positive output per faculty member.  </w:t>
      </w:r>
      <w:r w:rsidR="00632FEC">
        <w:rPr>
          <w:rFonts w:ascii="Times New Roman" w:hAnsi="Times New Roman" w:cs="Times New Roman"/>
        </w:rPr>
        <w:t xml:space="preserve">For </w:t>
      </w:r>
      <w:r w:rsidR="00FA478B">
        <w:rPr>
          <w:rFonts w:ascii="Times New Roman" w:hAnsi="Times New Roman" w:cs="Times New Roman"/>
        </w:rPr>
        <w:t>this reason we have</w:t>
      </w:r>
      <w:r>
        <w:rPr>
          <w:rFonts w:ascii="Times New Roman" w:hAnsi="Times New Roman" w:cs="Times New Roman"/>
        </w:rPr>
        <w:t xml:space="preserve"> excluded </w:t>
      </w:r>
      <w:r w:rsidR="00FA478B">
        <w:rPr>
          <w:rFonts w:ascii="Times New Roman" w:hAnsi="Times New Roman" w:cs="Times New Roman"/>
        </w:rPr>
        <w:t xml:space="preserve">them </w:t>
      </w:r>
      <w:r>
        <w:rPr>
          <w:rFonts w:ascii="Times New Roman" w:hAnsi="Times New Roman" w:cs="Times New Roman"/>
        </w:rPr>
        <w:t>from the empirical analysis.  Nevertheless,</w:t>
      </w:r>
      <w:r w:rsidR="00632FEC">
        <w:rPr>
          <w:rFonts w:ascii="Times New Roman" w:hAnsi="Times New Roman" w:cs="Times New Roman"/>
        </w:rPr>
        <w:t xml:space="preserve"> the number of ze</w:t>
      </w:r>
      <w:r w:rsidR="00FA478B">
        <w:rPr>
          <w:rFonts w:ascii="Times New Roman" w:hAnsi="Times New Roman" w:cs="Times New Roman"/>
        </w:rPr>
        <w:t>ro entries was still present</w:t>
      </w:r>
      <w:r w:rsidR="00632FEC">
        <w:rPr>
          <w:rFonts w:ascii="Times New Roman" w:hAnsi="Times New Roman" w:cs="Times New Roman"/>
        </w:rPr>
        <w:t xml:space="preserve"> due to </w:t>
      </w:r>
      <w:r>
        <w:rPr>
          <w:rFonts w:ascii="Times New Roman" w:hAnsi="Times New Roman" w:cs="Times New Roman"/>
        </w:rPr>
        <w:t>the irregular frequency</w:t>
      </w:r>
      <w:r w:rsidR="00632FEC">
        <w:rPr>
          <w:rFonts w:ascii="Times New Roman" w:hAnsi="Times New Roman" w:cs="Times New Roman"/>
        </w:rPr>
        <w:t xml:space="preserve"> of publicati</w:t>
      </w:r>
      <w:r w:rsidR="00F95AF0">
        <w:rPr>
          <w:rFonts w:ascii="Times New Roman" w:hAnsi="Times New Roman" w:cs="Times New Roman"/>
        </w:rPr>
        <w:t>ons between adjacent years.  F</w:t>
      </w:r>
      <w:r w:rsidR="00632FEC">
        <w:rPr>
          <w:rFonts w:ascii="Times New Roman" w:hAnsi="Times New Roman" w:cs="Times New Roman"/>
        </w:rPr>
        <w:t>or thi</w:t>
      </w:r>
      <w:r w:rsidR="00FA03E6">
        <w:rPr>
          <w:rFonts w:ascii="Times New Roman" w:hAnsi="Times New Roman" w:cs="Times New Roman"/>
        </w:rPr>
        <w:t>s reason we decide</w:t>
      </w:r>
      <w:r w:rsidR="00F95AF0">
        <w:rPr>
          <w:rFonts w:ascii="Times New Roman" w:hAnsi="Times New Roman" w:cs="Times New Roman"/>
        </w:rPr>
        <w:t>d</w:t>
      </w:r>
      <w:r w:rsidR="00FA03E6">
        <w:rPr>
          <w:rFonts w:ascii="Times New Roman" w:hAnsi="Times New Roman" w:cs="Times New Roman"/>
        </w:rPr>
        <w:t xml:space="preserve"> to use three-</w:t>
      </w:r>
      <w:r w:rsidR="00632FEC">
        <w:rPr>
          <w:rFonts w:ascii="Times New Roman" w:hAnsi="Times New Roman" w:cs="Times New Roman"/>
        </w:rPr>
        <w:t>year</w:t>
      </w:r>
      <w:r w:rsidR="00FA03E6">
        <w:rPr>
          <w:rFonts w:ascii="Times New Roman" w:hAnsi="Times New Roman" w:cs="Times New Roman"/>
        </w:rPr>
        <w:t>s</w:t>
      </w:r>
      <w:r w:rsidR="00632FEC">
        <w:rPr>
          <w:rFonts w:ascii="Times New Roman" w:hAnsi="Times New Roman" w:cs="Times New Roman"/>
        </w:rPr>
        <w:t xml:space="preserve"> moving averages running from 2000-02 t</w:t>
      </w:r>
      <w:r w:rsidR="00FA03E6">
        <w:rPr>
          <w:rFonts w:ascii="Times New Roman" w:hAnsi="Times New Roman" w:cs="Times New Roman"/>
        </w:rPr>
        <w:t>o 2004-06</w:t>
      </w:r>
      <w:r w:rsidR="00F95AF0">
        <w:rPr>
          <w:rFonts w:ascii="Times New Roman" w:hAnsi="Times New Roman" w:cs="Times New Roman"/>
        </w:rPr>
        <w:t>.  In addition, w</w:t>
      </w:r>
      <w:r w:rsidR="00605328">
        <w:rPr>
          <w:rFonts w:ascii="Times New Roman" w:hAnsi="Times New Roman" w:cs="Times New Roman"/>
        </w:rPr>
        <w:t>e disregarded</w:t>
      </w:r>
      <w:r w:rsidR="00F95AF0">
        <w:rPr>
          <w:rFonts w:ascii="Times New Roman" w:hAnsi="Times New Roman" w:cs="Times New Roman"/>
        </w:rPr>
        <w:t xml:space="preserve"> from the assessment the three new faculty members that joined the department in 2003 and for whom there were no data for the whole period under consideration.  </w:t>
      </w:r>
      <w:r w:rsidR="00FA03E6">
        <w:rPr>
          <w:rFonts w:ascii="Times New Roman" w:hAnsi="Times New Roman" w:cs="Times New Roman"/>
        </w:rPr>
        <w:t>Thus we end up</w:t>
      </w:r>
      <w:r w:rsidR="00632FEC">
        <w:rPr>
          <w:rFonts w:ascii="Times New Roman" w:hAnsi="Times New Roman" w:cs="Times New Roman"/>
        </w:rPr>
        <w:t xml:space="preserve"> </w:t>
      </w:r>
      <w:r w:rsidR="00FA03E6">
        <w:rPr>
          <w:rFonts w:ascii="Times New Roman" w:hAnsi="Times New Roman" w:cs="Times New Roman"/>
        </w:rPr>
        <w:t xml:space="preserve">with </w:t>
      </w:r>
      <w:r w:rsidR="00632FEC">
        <w:rPr>
          <w:rFonts w:ascii="Times New Roman" w:hAnsi="Times New Roman" w:cs="Times New Roman"/>
        </w:rPr>
        <w:t>a balanced panel da</w:t>
      </w:r>
      <w:r w:rsidR="008914E8">
        <w:rPr>
          <w:rFonts w:ascii="Times New Roman" w:hAnsi="Times New Roman" w:cs="Times New Roman"/>
        </w:rPr>
        <w:t xml:space="preserve">ta of 20 DMUs (i.e., </w:t>
      </w:r>
      <w:r w:rsidR="00BA6D04">
        <w:rPr>
          <w:rFonts w:ascii="Times New Roman" w:hAnsi="Times New Roman" w:cs="Times New Roman"/>
        </w:rPr>
        <w:t>faculty member</w:t>
      </w:r>
      <w:r w:rsidR="008914E8">
        <w:rPr>
          <w:rFonts w:ascii="Times New Roman" w:hAnsi="Times New Roman" w:cs="Times New Roman"/>
        </w:rPr>
        <w:t>s</w:t>
      </w:r>
      <w:r w:rsidR="009D0E9C">
        <w:rPr>
          <w:rFonts w:ascii="Times New Roman" w:hAnsi="Times New Roman" w:cs="Times New Roman"/>
        </w:rPr>
        <w:t xml:space="preserve">) over </w:t>
      </w:r>
      <w:r w:rsidR="00315809">
        <w:rPr>
          <w:rFonts w:ascii="Times New Roman" w:hAnsi="Times New Roman" w:cs="Times New Roman"/>
        </w:rPr>
        <w:t xml:space="preserve">five </w:t>
      </w:r>
      <w:r w:rsidR="009D0E9C">
        <w:rPr>
          <w:rFonts w:ascii="Times New Roman" w:hAnsi="Times New Roman" w:cs="Times New Roman"/>
        </w:rPr>
        <w:t>three</w:t>
      </w:r>
      <w:r w:rsidR="00BA6D04">
        <w:rPr>
          <w:rFonts w:ascii="Times New Roman" w:hAnsi="Times New Roman" w:cs="Times New Roman"/>
        </w:rPr>
        <w:t>-years rolling</w:t>
      </w:r>
      <w:r w:rsidR="009D0E9C">
        <w:rPr>
          <w:rFonts w:ascii="Times New Roman" w:hAnsi="Times New Roman" w:cs="Times New Roman"/>
        </w:rPr>
        <w:t xml:space="preserve"> windows</w:t>
      </w:r>
      <w:r w:rsidR="00632FEC">
        <w:rPr>
          <w:rFonts w:ascii="Times New Roman" w:hAnsi="Times New Roman" w:cs="Times New Roman"/>
        </w:rPr>
        <w:t xml:space="preserve"> from 2000-02 to 2004-06.  </w:t>
      </w:r>
    </w:p>
    <w:p w14:paraId="1B20C28C" w14:textId="60A12035" w:rsidR="00632FEC" w:rsidRDefault="00632FEC" w:rsidP="00752738">
      <w:pPr>
        <w:spacing w:line="360" w:lineRule="auto"/>
        <w:ind w:firstLine="720"/>
        <w:jc w:val="both"/>
        <w:rPr>
          <w:rFonts w:ascii="Times New Roman" w:hAnsi="Times New Roman" w:cs="Times New Roman"/>
        </w:rPr>
      </w:pPr>
      <w:r>
        <w:rPr>
          <w:rFonts w:ascii="Times New Roman" w:hAnsi="Times New Roman" w:cs="Times New Roman"/>
        </w:rPr>
        <w:t>The empirical results concerning the estimates</w:t>
      </w:r>
      <w:r w:rsidR="008914E8">
        <w:rPr>
          <w:rFonts w:ascii="Times New Roman" w:hAnsi="Times New Roman" w:cs="Times New Roman"/>
        </w:rPr>
        <w:t xml:space="preserve"> of</w:t>
      </w:r>
      <w:r w:rsidR="00FA03E6">
        <w:rPr>
          <w:rFonts w:ascii="Times New Roman" w:hAnsi="Times New Roman" w:cs="Times New Roman"/>
        </w:rPr>
        <w:t xml:space="preserve"> </w:t>
      </w:r>
      <w:r w:rsidR="009577DB">
        <w:rPr>
          <w:rFonts w:ascii="Times New Roman" w:hAnsi="Times New Roman" w:cs="Times New Roman"/>
        </w:rPr>
        <w:t xml:space="preserve">the </w:t>
      </w:r>
      <w:r w:rsidR="009D0E9C">
        <w:rPr>
          <w:rFonts w:ascii="Times New Roman" w:hAnsi="Times New Roman" w:cs="Times New Roman"/>
        </w:rPr>
        <w:t>RP</w:t>
      </w:r>
      <w:r w:rsidR="00FA03E6">
        <w:rPr>
          <w:rFonts w:ascii="Times New Roman" w:hAnsi="Times New Roman" w:cs="Times New Roman"/>
        </w:rPr>
        <w:t xml:space="preserve">I </w:t>
      </w:r>
      <w:r>
        <w:rPr>
          <w:rFonts w:ascii="Times New Roman" w:hAnsi="Times New Roman" w:cs="Times New Roman"/>
        </w:rPr>
        <w:t>ar</w:t>
      </w:r>
      <w:r w:rsidR="00860ACD">
        <w:rPr>
          <w:rFonts w:ascii="Times New Roman" w:hAnsi="Times New Roman" w:cs="Times New Roman"/>
        </w:rPr>
        <w:t>e presented in Figures 3 and 4.  In Figure 3</w:t>
      </w:r>
      <w:r>
        <w:rPr>
          <w:rFonts w:ascii="Times New Roman" w:hAnsi="Times New Roman" w:cs="Times New Roman"/>
        </w:rPr>
        <w:t xml:space="preserve"> w</w:t>
      </w:r>
      <w:r w:rsidR="00D748C7">
        <w:rPr>
          <w:rFonts w:ascii="Times New Roman" w:hAnsi="Times New Roman" w:cs="Times New Roman"/>
        </w:rPr>
        <w:t>e report</w:t>
      </w:r>
      <w:r w:rsidR="009D0E9C">
        <w:rPr>
          <w:rFonts w:ascii="Times New Roman" w:hAnsi="Times New Roman" w:cs="Times New Roman"/>
        </w:rPr>
        <w:t xml:space="preserve"> the average RP</w:t>
      </w:r>
      <w:r w:rsidR="00FA03E6">
        <w:rPr>
          <w:rFonts w:ascii="Times New Roman" w:hAnsi="Times New Roman" w:cs="Times New Roman"/>
        </w:rPr>
        <w:t>I</w:t>
      </w:r>
      <w:r>
        <w:rPr>
          <w:rFonts w:ascii="Times New Roman" w:hAnsi="Times New Roman" w:cs="Times New Roman"/>
        </w:rPr>
        <w:t xml:space="preserve"> for each faculty member over the period under consideration.  From there we can see that there are two peers with</w:t>
      </w:r>
      <w:r w:rsidR="009D0E9C">
        <w:rPr>
          <w:rFonts w:ascii="Times New Roman" w:hAnsi="Times New Roman" w:cs="Times New Roman"/>
        </w:rPr>
        <w:t xml:space="preserve"> an average over time RP</w:t>
      </w:r>
      <w:r w:rsidR="00FA03E6">
        <w:rPr>
          <w:rFonts w:ascii="Times New Roman" w:hAnsi="Times New Roman" w:cs="Times New Roman"/>
        </w:rPr>
        <w:t>I</w:t>
      </w:r>
      <w:r>
        <w:rPr>
          <w:rFonts w:ascii="Times New Roman" w:hAnsi="Times New Roman" w:cs="Times New Roman"/>
        </w:rPr>
        <w:t xml:space="preserve"> score of almost one and in addition, two other faculty members who are w</w:t>
      </w:r>
      <w:r w:rsidR="00D748C7">
        <w:rPr>
          <w:rFonts w:ascii="Times New Roman" w:hAnsi="Times New Roman" w:cs="Times New Roman"/>
        </w:rPr>
        <w:t>ell above</w:t>
      </w:r>
      <w:r>
        <w:rPr>
          <w:rFonts w:ascii="Times New Roman" w:hAnsi="Times New Roman" w:cs="Times New Roman"/>
        </w:rPr>
        <w:t xml:space="preserve"> average.  However</w:t>
      </w:r>
      <w:r w:rsidR="008914E8">
        <w:rPr>
          <w:rFonts w:ascii="Times New Roman" w:hAnsi="Times New Roman" w:cs="Times New Roman"/>
        </w:rPr>
        <w:t>,</w:t>
      </w:r>
      <w:r>
        <w:rPr>
          <w:rFonts w:ascii="Times New Roman" w:hAnsi="Times New Roman" w:cs="Times New Roman"/>
        </w:rPr>
        <w:t xml:space="preserve"> the great ma</w:t>
      </w:r>
      <w:r w:rsidR="00860ACD">
        <w:rPr>
          <w:rFonts w:ascii="Times New Roman" w:hAnsi="Times New Roman" w:cs="Times New Roman"/>
        </w:rPr>
        <w:t>jority (16 faculty members) had</w:t>
      </w:r>
      <w:r w:rsidR="009D0E9C">
        <w:rPr>
          <w:rFonts w:ascii="Times New Roman" w:hAnsi="Times New Roman" w:cs="Times New Roman"/>
        </w:rPr>
        <w:t xml:space="preserve"> an average RP</w:t>
      </w:r>
      <w:r w:rsidR="00FA03E6">
        <w:rPr>
          <w:rFonts w:ascii="Times New Roman" w:hAnsi="Times New Roman" w:cs="Times New Roman"/>
        </w:rPr>
        <w:t>I</w:t>
      </w:r>
      <w:r w:rsidR="00B00EB8">
        <w:rPr>
          <w:rFonts w:ascii="Times New Roman" w:hAnsi="Times New Roman" w:cs="Times New Roman"/>
        </w:rPr>
        <w:t xml:space="preserve"> score of less than</w:t>
      </w:r>
      <w:r>
        <w:rPr>
          <w:rFonts w:ascii="Times New Roman" w:hAnsi="Times New Roman" w:cs="Times New Roman"/>
        </w:rPr>
        <w:t xml:space="preserve"> 0.4, very close to </w:t>
      </w:r>
      <w:r w:rsidR="00B00EB8">
        <w:rPr>
          <w:rFonts w:ascii="Times New Roman" w:hAnsi="Times New Roman" w:cs="Times New Roman"/>
        </w:rPr>
        <w:t xml:space="preserve">the </w:t>
      </w:r>
      <w:r>
        <w:rPr>
          <w:rFonts w:ascii="Times New Roman" w:hAnsi="Times New Roman" w:cs="Times New Roman"/>
        </w:rPr>
        <w:t>departmental average.  There are also three faculty members with comparatively low achiev</w:t>
      </w:r>
      <w:r w:rsidR="009D0E9C">
        <w:rPr>
          <w:rFonts w:ascii="Times New Roman" w:hAnsi="Times New Roman" w:cs="Times New Roman"/>
        </w:rPr>
        <w:t>ements and RP</w:t>
      </w:r>
      <w:r w:rsidR="00FA03E6">
        <w:rPr>
          <w:rFonts w:ascii="Times New Roman" w:hAnsi="Times New Roman" w:cs="Times New Roman"/>
        </w:rPr>
        <w:t>I</w:t>
      </w:r>
      <w:r>
        <w:rPr>
          <w:rFonts w:ascii="Times New Roman" w:hAnsi="Times New Roman" w:cs="Times New Roman"/>
        </w:rPr>
        <w:t xml:space="preserve"> scores below 0.2.  Nevertheless</w:t>
      </w:r>
      <w:r w:rsidR="00F95AF0">
        <w:rPr>
          <w:rFonts w:ascii="Times New Roman" w:hAnsi="Times New Roman" w:cs="Times New Roman"/>
        </w:rPr>
        <w:t>,</w:t>
      </w:r>
      <w:r>
        <w:rPr>
          <w:rFonts w:ascii="Times New Roman" w:hAnsi="Times New Roman" w:cs="Times New Roman"/>
        </w:rPr>
        <w:t xml:space="preserve"> it seems that on the average there is a tendency for </w:t>
      </w:r>
      <w:r w:rsidR="00FA03E6">
        <w:rPr>
          <w:rFonts w:ascii="Times New Roman" w:hAnsi="Times New Roman" w:cs="Times New Roman"/>
        </w:rPr>
        <w:t>performance improvement</w:t>
      </w:r>
      <w:r w:rsidR="008914E8">
        <w:rPr>
          <w:rFonts w:ascii="Times New Roman" w:hAnsi="Times New Roman" w:cs="Times New Roman"/>
        </w:rPr>
        <w:t xml:space="preserve"> over time</w:t>
      </w:r>
      <w:r>
        <w:rPr>
          <w:rFonts w:ascii="Times New Roman" w:hAnsi="Times New Roman" w:cs="Times New Roman"/>
        </w:rPr>
        <w:t>.</w:t>
      </w:r>
      <w:r w:rsidR="00FA03E6">
        <w:rPr>
          <w:rFonts w:ascii="Times New Roman" w:hAnsi="Times New Roman" w:cs="Times New Roman"/>
        </w:rPr>
        <w:t xml:space="preserve">  </w:t>
      </w:r>
      <w:r w:rsidR="00752738">
        <w:rPr>
          <w:rFonts w:ascii="Times New Roman" w:hAnsi="Times New Roman" w:cs="Times New Roman"/>
        </w:rPr>
        <w:t>On the other hand, t</w:t>
      </w:r>
      <w:r w:rsidR="009D0E9C">
        <w:rPr>
          <w:rFonts w:ascii="Times New Roman" w:hAnsi="Times New Roman" w:cs="Times New Roman"/>
        </w:rPr>
        <w:t>he average annual RP</w:t>
      </w:r>
      <w:r w:rsidR="00FA03E6">
        <w:rPr>
          <w:rFonts w:ascii="Times New Roman" w:hAnsi="Times New Roman" w:cs="Times New Roman"/>
        </w:rPr>
        <w:t xml:space="preserve">I scores, which according to our theoretical results </w:t>
      </w:r>
      <w:r w:rsidR="008914E8">
        <w:rPr>
          <w:rFonts w:ascii="Times New Roman" w:hAnsi="Times New Roman" w:cs="Times New Roman"/>
        </w:rPr>
        <w:t xml:space="preserve">are </w:t>
      </w:r>
      <w:r w:rsidR="00752738">
        <w:rPr>
          <w:rFonts w:ascii="Times New Roman" w:hAnsi="Times New Roman" w:cs="Times New Roman"/>
        </w:rPr>
        <w:t>equal to</w:t>
      </w:r>
      <w:r w:rsidR="009D0E9C">
        <w:rPr>
          <w:rFonts w:ascii="Times New Roman" w:hAnsi="Times New Roman" w:cs="Times New Roman"/>
        </w:rPr>
        <w:t xml:space="preserve"> aggregate </w:t>
      </w:r>
      <w:r w:rsidR="00B00EB8">
        <w:rPr>
          <w:rFonts w:ascii="Times New Roman" w:hAnsi="Times New Roman" w:cs="Times New Roman"/>
        </w:rPr>
        <w:t xml:space="preserve">(departmental) </w:t>
      </w:r>
      <w:r w:rsidR="009D0E9C">
        <w:rPr>
          <w:rFonts w:ascii="Times New Roman" w:hAnsi="Times New Roman" w:cs="Times New Roman"/>
        </w:rPr>
        <w:t>RP</w:t>
      </w:r>
      <w:r w:rsidR="00FA03E6">
        <w:rPr>
          <w:rFonts w:ascii="Times New Roman" w:hAnsi="Times New Roman" w:cs="Times New Roman"/>
        </w:rPr>
        <w:t>I score</w:t>
      </w:r>
      <w:r w:rsidR="008914E8">
        <w:rPr>
          <w:rFonts w:ascii="Times New Roman" w:hAnsi="Times New Roman" w:cs="Times New Roman"/>
        </w:rPr>
        <w:t>s</w:t>
      </w:r>
      <w:r w:rsidR="00860ACD">
        <w:rPr>
          <w:rFonts w:ascii="Times New Roman" w:hAnsi="Times New Roman" w:cs="Times New Roman"/>
        </w:rPr>
        <w:t xml:space="preserve">, are rather low and in the range of 0.36 to 0.43 </w:t>
      </w:r>
      <w:r w:rsidR="008914E8">
        <w:rPr>
          <w:rFonts w:ascii="Times New Roman" w:hAnsi="Times New Roman" w:cs="Times New Roman"/>
        </w:rPr>
        <w:t xml:space="preserve">(see Figure 4) </w:t>
      </w:r>
      <w:r w:rsidR="00860ACD">
        <w:rPr>
          <w:rFonts w:ascii="Times New Roman" w:hAnsi="Times New Roman" w:cs="Times New Roman"/>
        </w:rPr>
        <w:t xml:space="preserve">indicating the relative heterogeneity </w:t>
      </w:r>
      <w:r w:rsidR="00B00EB8">
        <w:rPr>
          <w:rFonts w:ascii="Times New Roman" w:hAnsi="Times New Roman" w:cs="Times New Roman"/>
        </w:rPr>
        <w:t>across</w:t>
      </w:r>
      <w:r w:rsidR="008914E8">
        <w:rPr>
          <w:rFonts w:ascii="Times New Roman" w:hAnsi="Times New Roman" w:cs="Times New Roman"/>
        </w:rPr>
        <w:t xml:space="preserve"> </w:t>
      </w:r>
      <w:r w:rsidR="00860ACD">
        <w:rPr>
          <w:rFonts w:ascii="Times New Roman" w:hAnsi="Times New Roman" w:cs="Times New Roman"/>
        </w:rPr>
        <w:t>faculty members.</w:t>
      </w:r>
      <w:r w:rsidR="00B00EB8">
        <w:rPr>
          <w:rFonts w:ascii="Times New Roman" w:hAnsi="Times New Roman" w:cs="Times New Roman"/>
        </w:rPr>
        <w:t xml:space="preserve">  Thus the department has</w:t>
      </w:r>
      <w:r w:rsidR="008B0F63">
        <w:rPr>
          <w:rFonts w:ascii="Times New Roman" w:hAnsi="Times New Roman" w:cs="Times New Roman"/>
        </w:rPr>
        <w:t xml:space="preserve"> achieved </w:t>
      </w:r>
      <w:r w:rsidR="008914E8">
        <w:rPr>
          <w:rFonts w:ascii="Times New Roman" w:hAnsi="Times New Roman" w:cs="Times New Roman"/>
        </w:rPr>
        <w:t xml:space="preserve">less than </w:t>
      </w:r>
      <w:r w:rsidR="00B00EB8">
        <w:rPr>
          <w:rFonts w:ascii="Times New Roman" w:hAnsi="Times New Roman" w:cs="Times New Roman"/>
        </w:rPr>
        <w:t>half of its</w:t>
      </w:r>
      <w:r w:rsidR="008B0F63">
        <w:rPr>
          <w:rFonts w:ascii="Times New Roman" w:hAnsi="Times New Roman" w:cs="Times New Roman"/>
        </w:rPr>
        <w:t xml:space="preserve"> pot</w:t>
      </w:r>
      <w:r w:rsidR="00B00EB8">
        <w:rPr>
          <w:rFonts w:ascii="Times New Roman" w:hAnsi="Times New Roman" w:cs="Times New Roman"/>
        </w:rPr>
        <w:t>ential output</w:t>
      </w:r>
      <w:r w:rsidR="008914E8">
        <w:rPr>
          <w:rFonts w:ascii="Times New Roman" w:hAnsi="Times New Roman" w:cs="Times New Roman"/>
        </w:rPr>
        <w:t xml:space="preserve"> with its current</w:t>
      </w:r>
      <w:r w:rsidR="008B0F63">
        <w:rPr>
          <w:rFonts w:ascii="Times New Roman" w:hAnsi="Times New Roman" w:cs="Times New Roman"/>
        </w:rPr>
        <w:t xml:space="preserve"> </w:t>
      </w:r>
      <w:r w:rsidR="008914E8">
        <w:rPr>
          <w:rFonts w:ascii="Times New Roman" w:hAnsi="Times New Roman" w:cs="Times New Roman"/>
        </w:rPr>
        <w:t xml:space="preserve">composition of </w:t>
      </w:r>
      <w:r w:rsidR="008B0F63">
        <w:rPr>
          <w:rFonts w:ascii="Times New Roman" w:hAnsi="Times New Roman" w:cs="Times New Roman"/>
        </w:rPr>
        <w:t>faculty members.</w:t>
      </w:r>
      <w:r w:rsidR="008914E8">
        <w:rPr>
          <w:rFonts w:ascii="Times New Roman" w:hAnsi="Times New Roman" w:cs="Times New Roman"/>
        </w:rPr>
        <w:t xml:space="preserve">  That is, the current faculty members could </w:t>
      </w:r>
      <w:r w:rsidR="00B00EB8">
        <w:rPr>
          <w:rFonts w:ascii="Times New Roman" w:hAnsi="Times New Roman" w:cs="Times New Roman"/>
        </w:rPr>
        <w:t xml:space="preserve">have </w:t>
      </w:r>
      <w:r w:rsidR="008914E8">
        <w:rPr>
          <w:rFonts w:ascii="Times New Roman" w:hAnsi="Times New Roman" w:cs="Times New Roman"/>
        </w:rPr>
        <w:t>“produce</w:t>
      </w:r>
      <w:r w:rsidR="00B00EB8">
        <w:rPr>
          <w:rFonts w:ascii="Times New Roman" w:hAnsi="Times New Roman" w:cs="Times New Roman"/>
        </w:rPr>
        <w:t>d</w:t>
      </w:r>
      <w:r w:rsidR="008914E8">
        <w:rPr>
          <w:rFonts w:ascii="Times New Roman" w:hAnsi="Times New Roman" w:cs="Times New Roman"/>
        </w:rPr>
        <w:t xml:space="preserve">” on average </w:t>
      </w:r>
      <w:r w:rsidR="00752738">
        <w:rPr>
          <w:rFonts w:ascii="Times New Roman" w:hAnsi="Times New Roman" w:cs="Times New Roman"/>
        </w:rPr>
        <w:t xml:space="preserve">more than </w:t>
      </w:r>
      <w:r w:rsidR="008914E8">
        <w:rPr>
          <w:rFonts w:ascii="Times New Roman" w:hAnsi="Times New Roman" w:cs="Times New Roman"/>
        </w:rPr>
        <w:t xml:space="preserve">twice as much research output as they did during the period 2000-2006. </w:t>
      </w:r>
      <w:r w:rsidR="00860ACD">
        <w:rPr>
          <w:rFonts w:ascii="Times New Roman" w:hAnsi="Times New Roman" w:cs="Times New Roman"/>
        </w:rPr>
        <w:t xml:space="preserve">  </w:t>
      </w:r>
    </w:p>
    <w:p w14:paraId="3C263465" w14:textId="77777777" w:rsidR="002467ED" w:rsidRDefault="002467ED" w:rsidP="001232F3">
      <w:pPr>
        <w:ind w:firstLine="720"/>
        <w:jc w:val="both"/>
        <w:rPr>
          <w:rFonts w:ascii="Times New Roman" w:hAnsi="Times New Roman" w:cs="Times New Roman"/>
        </w:rPr>
      </w:pPr>
    </w:p>
    <w:p w14:paraId="20B4E507" w14:textId="7F1AAA6B" w:rsidR="002467ED" w:rsidRPr="00860ACD" w:rsidRDefault="002467ED" w:rsidP="001232F3">
      <w:pPr>
        <w:jc w:val="both"/>
        <w:rPr>
          <w:rFonts w:ascii="Times New Roman" w:hAnsi="Times New Roman" w:cs="Times New Roman"/>
          <w:b/>
        </w:rPr>
      </w:pPr>
      <w:r w:rsidRPr="00860ACD">
        <w:rPr>
          <w:rFonts w:ascii="Times New Roman" w:hAnsi="Times New Roman" w:cs="Times New Roman"/>
          <w:b/>
        </w:rPr>
        <w:t>4. Concluding Remarks</w:t>
      </w:r>
    </w:p>
    <w:p w14:paraId="6FC594AC" w14:textId="77777777" w:rsidR="00174107" w:rsidRDefault="00174107" w:rsidP="001131D9">
      <w:pPr>
        <w:rPr>
          <w:rFonts w:ascii="Times New Roman" w:hAnsi="Times New Roman" w:cs="Times New Roman"/>
          <w:b/>
        </w:rPr>
      </w:pPr>
    </w:p>
    <w:p w14:paraId="09E587EB" w14:textId="52C3275A" w:rsidR="00174107" w:rsidRPr="00C519D1" w:rsidRDefault="001232F3" w:rsidP="001232F3">
      <w:pPr>
        <w:spacing w:line="360" w:lineRule="auto"/>
        <w:jc w:val="both"/>
        <w:rPr>
          <w:rFonts w:ascii="Times New Roman" w:hAnsi="Times New Roman"/>
        </w:rPr>
      </w:pPr>
      <w:r>
        <w:rPr>
          <w:rFonts w:ascii="Times New Roman" w:hAnsi="Times New Roman" w:cs="Times New Roman"/>
        </w:rPr>
        <w:t>In this paper</w:t>
      </w:r>
      <w:r w:rsidR="00B00EB8">
        <w:rPr>
          <w:rFonts w:ascii="Times New Roman" w:hAnsi="Times New Roman" w:cs="Times New Roman"/>
        </w:rPr>
        <w:t xml:space="preserve"> we show</w:t>
      </w:r>
      <w:r w:rsidR="002A2AB5">
        <w:rPr>
          <w:rFonts w:ascii="Times New Roman" w:hAnsi="Times New Roman" w:cs="Times New Roman"/>
        </w:rPr>
        <w:t xml:space="preserve"> </w:t>
      </w:r>
      <w:r w:rsidR="00C519D1">
        <w:rPr>
          <w:rFonts w:ascii="Times New Roman" w:hAnsi="Times New Roman" w:cs="Times New Roman"/>
        </w:rPr>
        <w:t xml:space="preserve">that </w:t>
      </w:r>
      <w:r w:rsidR="00C519D1">
        <w:rPr>
          <w:rFonts w:ascii="Times New Roman" w:hAnsi="Times New Roman"/>
        </w:rPr>
        <w:t>t</w:t>
      </w:r>
      <w:r w:rsidR="00C519D1" w:rsidRPr="00C519D1">
        <w:rPr>
          <w:rFonts w:ascii="Times New Roman" w:hAnsi="Times New Roman"/>
        </w:rPr>
        <w:t xml:space="preserve">he </w:t>
      </w:r>
      <w:r w:rsidR="00C519D1">
        <w:rPr>
          <w:rFonts w:ascii="Times New Roman" w:hAnsi="Times New Roman"/>
        </w:rPr>
        <w:t xml:space="preserve">simple </w:t>
      </w:r>
      <w:r w:rsidR="00C519D1" w:rsidRPr="00C519D1">
        <w:rPr>
          <w:rFonts w:ascii="Times New Roman" w:hAnsi="Times New Roman"/>
        </w:rPr>
        <w:t xml:space="preserve">arithmetic average is the theoretically consistent   aggregation rule for the </w:t>
      </w:r>
      <w:proofErr w:type="spellStart"/>
      <w:r w:rsidR="00C519D1" w:rsidRPr="00C519D1">
        <w:rPr>
          <w:rFonts w:ascii="Times New Roman" w:hAnsi="Times New Roman"/>
        </w:rPr>
        <w:t>BoD</w:t>
      </w:r>
      <w:proofErr w:type="spellEnd"/>
      <w:r w:rsidR="00C519D1" w:rsidRPr="00C519D1">
        <w:rPr>
          <w:rFonts w:ascii="Times New Roman" w:hAnsi="Times New Roman"/>
        </w:rPr>
        <w:t xml:space="preserve"> model and thus</w:t>
      </w:r>
      <w:r w:rsidR="00C519D1">
        <w:rPr>
          <w:rFonts w:ascii="Times New Roman" w:hAnsi="Times New Roman"/>
        </w:rPr>
        <w:t>,</w:t>
      </w:r>
      <w:r w:rsidR="00C519D1" w:rsidRPr="00C519D1">
        <w:rPr>
          <w:rFonts w:ascii="Times New Roman" w:hAnsi="Times New Roman"/>
        </w:rPr>
        <w:t xml:space="preserve"> for the </w:t>
      </w:r>
      <w:r w:rsidR="00C519D1">
        <w:rPr>
          <w:rFonts w:ascii="Times New Roman" w:hAnsi="Times New Roman"/>
        </w:rPr>
        <w:t xml:space="preserve">input-oriented </w:t>
      </w:r>
      <w:r w:rsidR="00C519D1" w:rsidRPr="00C519D1">
        <w:rPr>
          <w:rFonts w:ascii="Times New Roman" w:hAnsi="Times New Roman"/>
        </w:rPr>
        <w:t>single constant input DEA model</w:t>
      </w:r>
      <w:r w:rsidR="00F95AF0">
        <w:rPr>
          <w:rFonts w:ascii="Times New Roman" w:hAnsi="Times New Roman"/>
        </w:rPr>
        <w:t>.  This is so as</w:t>
      </w:r>
      <w:r w:rsidR="00C519D1">
        <w:rPr>
          <w:rFonts w:ascii="Times New Roman" w:hAnsi="Times New Roman"/>
        </w:rPr>
        <w:t xml:space="preserve"> </w:t>
      </w:r>
      <w:r>
        <w:rPr>
          <w:rFonts w:ascii="Times New Roman" w:hAnsi="Times New Roman" w:cs="Times New Roman"/>
        </w:rPr>
        <w:t xml:space="preserve">the </w:t>
      </w:r>
      <w:r w:rsidR="00550A03">
        <w:rPr>
          <w:rFonts w:ascii="Times New Roman" w:hAnsi="Times New Roman" w:cs="Times New Roman"/>
        </w:rPr>
        <w:t xml:space="preserve">value of the </w:t>
      </w:r>
      <w:r>
        <w:rPr>
          <w:rFonts w:ascii="Times New Roman" w:hAnsi="Times New Roman" w:cs="Times New Roman"/>
        </w:rPr>
        <w:t>com</w:t>
      </w:r>
      <w:r w:rsidR="00222D10">
        <w:rPr>
          <w:rFonts w:ascii="Times New Roman" w:hAnsi="Times New Roman" w:cs="Times New Roman"/>
        </w:rPr>
        <w:t>posite indicator is equal to</w:t>
      </w:r>
      <w:r>
        <w:rPr>
          <w:rFonts w:ascii="Times New Roman" w:hAnsi="Times New Roman" w:cs="Times New Roman"/>
        </w:rPr>
        <w:t xml:space="preserve"> the degree of technical efficiency in a radial</w:t>
      </w:r>
      <w:r w:rsidR="00550A03">
        <w:rPr>
          <w:rFonts w:ascii="Times New Roman" w:hAnsi="Times New Roman" w:cs="Times New Roman"/>
        </w:rPr>
        <w:t>, input-oriented</w:t>
      </w:r>
      <w:r>
        <w:rPr>
          <w:rFonts w:ascii="Times New Roman" w:hAnsi="Times New Roman" w:cs="Times New Roman"/>
        </w:rPr>
        <w:t xml:space="preserve"> DEA model with </w:t>
      </w:r>
      <w:r w:rsidR="008914E8">
        <w:rPr>
          <w:rFonts w:ascii="Times New Roman" w:hAnsi="Times New Roman" w:cs="Times New Roman"/>
        </w:rPr>
        <w:t xml:space="preserve">a </w:t>
      </w:r>
      <w:r>
        <w:rPr>
          <w:rFonts w:ascii="Times New Roman" w:hAnsi="Times New Roman" w:cs="Times New Roman"/>
        </w:rPr>
        <w:t>single constant input</w:t>
      </w:r>
      <w:r w:rsidR="008914E8">
        <w:rPr>
          <w:rFonts w:ascii="Times New Roman" w:hAnsi="Times New Roman" w:cs="Times New Roman"/>
        </w:rPr>
        <w:t xml:space="preserve"> and several</w:t>
      </w:r>
      <w:r w:rsidR="00707624">
        <w:rPr>
          <w:rFonts w:ascii="Times New Roman" w:hAnsi="Times New Roman" w:cs="Times New Roman"/>
        </w:rPr>
        <w:t xml:space="preserve"> sub-indicators</w:t>
      </w:r>
      <w:r w:rsidR="008B0F63">
        <w:rPr>
          <w:rFonts w:ascii="Times New Roman" w:hAnsi="Times New Roman" w:cs="Times New Roman"/>
        </w:rPr>
        <w:t xml:space="preserve"> as outputs</w:t>
      </w:r>
      <w:r>
        <w:rPr>
          <w:rFonts w:ascii="Times New Roman" w:hAnsi="Times New Roman" w:cs="Times New Roman"/>
        </w:rPr>
        <w:t xml:space="preserve">.  </w:t>
      </w:r>
      <w:r w:rsidR="00550A03">
        <w:rPr>
          <w:rFonts w:ascii="Times New Roman" w:hAnsi="Times New Roman" w:cs="Times New Roman"/>
        </w:rPr>
        <w:t xml:space="preserve">As a result, the value of the aggregate composite indicator is equal to arithmetic average of DMUs’ composite indicators derived from the </w:t>
      </w:r>
      <w:proofErr w:type="spellStart"/>
      <w:r w:rsidR="00550A03">
        <w:rPr>
          <w:rFonts w:ascii="Times New Roman" w:hAnsi="Times New Roman" w:cs="Times New Roman"/>
        </w:rPr>
        <w:t>BoD</w:t>
      </w:r>
      <w:proofErr w:type="spellEnd"/>
      <w:r w:rsidR="00550A03">
        <w:rPr>
          <w:rFonts w:ascii="Times New Roman" w:hAnsi="Times New Roman" w:cs="Times New Roman"/>
        </w:rPr>
        <w:t xml:space="preserve"> model as </w:t>
      </w:r>
      <w:r w:rsidR="00707624">
        <w:rPr>
          <w:rFonts w:ascii="Times New Roman" w:hAnsi="Times New Roman" w:cs="Times New Roman"/>
        </w:rPr>
        <w:t>aggregate efficiency is equal to average efficiency</w:t>
      </w:r>
      <w:r w:rsidR="008B0F63">
        <w:rPr>
          <w:rFonts w:ascii="Times New Roman" w:hAnsi="Times New Roman" w:cs="Times New Roman"/>
        </w:rPr>
        <w:t xml:space="preserve"> </w:t>
      </w:r>
      <w:r w:rsidR="00550A03">
        <w:rPr>
          <w:rFonts w:ascii="Times New Roman" w:hAnsi="Times New Roman" w:cs="Times New Roman"/>
        </w:rPr>
        <w:t>in a radial, input-oriented DEA model with a single constant input</w:t>
      </w:r>
      <w:r w:rsidR="00707624">
        <w:rPr>
          <w:rFonts w:ascii="Times New Roman" w:hAnsi="Times New Roman" w:cs="Times New Roman"/>
        </w:rPr>
        <w:t>.</w:t>
      </w:r>
      <w:r w:rsidR="008B0F63">
        <w:rPr>
          <w:rFonts w:ascii="Times New Roman" w:hAnsi="Times New Roman" w:cs="Times New Roman"/>
        </w:rPr>
        <w:t xml:space="preserve">  This rather simple aggregation</w:t>
      </w:r>
      <w:r w:rsidR="00B00EB8">
        <w:rPr>
          <w:rFonts w:ascii="Times New Roman" w:hAnsi="Times New Roman" w:cs="Times New Roman"/>
        </w:rPr>
        <w:t xml:space="preserve"> rule can be applied</w:t>
      </w:r>
      <w:r w:rsidR="008B0F63">
        <w:rPr>
          <w:rFonts w:ascii="Times New Roman" w:hAnsi="Times New Roman" w:cs="Times New Roman"/>
        </w:rPr>
        <w:t xml:space="preserve"> without requiring the </w:t>
      </w:r>
      <w:r w:rsidR="00A86578">
        <w:rPr>
          <w:rFonts w:ascii="Times New Roman" w:hAnsi="Times New Roman" w:cs="Times New Roman"/>
        </w:rPr>
        <w:t>relative weights of</w:t>
      </w:r>
      <w:r w:rsidR="008B0F63">
        <w:rPr>
          <w:rFonts w:ascii="Times New Roman" w:hAnsi="Times New Roman" w:cs="Times New Roman"/>
        </w:rPr>
        <w:t xml:space="preserve"> each sub-indi</w:t>
      </w:r>
      <w:r w:rsidR="00B00EB8">
        <w:rPr>
          <w:rFonts w:ascii="Times New Roman" w:hAnsi="Times New Roman" w:cs="Times New Roman"/>
        </w:rPr>
        <w:t>cator to be the same across DMUs</w:t>
      </w:r>
      <w:r w:rsidR="008B0F63">
        <w:rPr>
          <w:rFonts w:ascii="Times New Roman" w:hAnsi="Times New Roman" w:cs="Times New Roman"/>
        </w:rPr>
        <w:t xml:space="preserve">, as </w:t>
      </w:r>
      <w:proofErr w:type="spellStart"/>
      <w:r w:rsidR="008B0F63">
        <w:rPr>
          <w:rFonts w:ascii="Times New Roman" w:hAnsi="Times New Roman" w:cs="Times New Roman"/>
        </w:rPr>
        <w:t>Morais</w:t>
      </w:r>
      <w:proofErr w:type="spellEnd"/>
      <w:r w:rsidR="008B0F63">
        <w:rPr>
          <w:rFonts w:ascii="Times New Roman" w:hAnsi="Times New Roman" w:cs="Times New Roman"/>
        </w:rPr>
        <w:t xml:space="preserve"> and </w:t>
      </w:r>
      <w:proofErr w:type="spellStart"/>
      <w:r w:rsidR="008B0F63">
        <w:rPr>
          <w:rFonts w:ascii="Times New Roman" w:hAnsi="Times New Roman" w:cs="Times New Roman"/>
        </w:rPr>
        <w:t>Cam</w:t>
      </w:r>
      <w:r w:rsidR="00F86237">
        <w:rPr>
          <w:rFonts w:ascii="Times New Roman" w:hAnsi="Times New Roman" w:cs="Times New Roman"/>
        </w:rPr>
        <w:t>anho</w:t>
      </w:r>
      <w:proofErr w:type="spellEnd"/>
      <w:r w:rsidR="00F86237">
        <w:rPr>
          <w:rFonts w:ascii="Times New Roman" w:hAnsi="Times New Roman" w:cs="Times New Roman"/>
        </w:rPr>
        <w:t xml:space="preserve"> (2011) suggested.  Moreover</w:t>
      </w:r>
      <w:r w:rsidR="008B0F63">
        <w:rPr>
          <w:rFonts w:ascii="Times New Roman" w:hAnsi="Times New Roman" w:cs="Times New Roman"/>
        </w:rPr>
        <w:t xml:space="preserve">, the proposed aggregation rule holds regardless of whether </w:t>
      </w:r>
      <w:r w:rsidR="00222D10">
        <w:rPr>
          <w:rFonts w:ascii="Times New Roman" w:hAnsi="Times New Roman" w:cs="Times New Roman"/>
        </w:rPr>
        <w:t>weight restrictions are</w:t>
      </w:r>
      <w:r w:rsidR="00F95AF0">
        <w:rPr>
          <w:rFonts w:ascii="Times New Roman" w:hAnsi="Times New Roman" w:cs="Times New Roman"/>
        </w:rPr>
        <w:t xml:space="preserve"> imposed</w:t>
      </w:r>
      <w:r w:rsidR="00222D10">
        <w:rPr>
          <w:rFonts w:ascii="Times New Roman" w:hAnsi="Times New Roman" w:cs="Times New Roman"/>
        </w:rPr>
        <w:t xml:space="preserve"> or not</w:t>
      </w:r>
      <w:r w:rsidR="009577DB">
        <w:rPr>
          <w:rFonts w:ascii="Times New Roman" w:hAnsi="Times New Roman" w:cs="Times New Roman"/>
        </w:rPr>
        <w:t xml:space="preserve"> when estimating the composite indicator for each DMU</w:t>
      </w:r>
      <w:r w:rsidR="00222D10">
        <w:rPr>
          <w:rFonts w:ascii="Times New Roman" w:hAnsi="Times New Roman" w:cs="Times New Roman"/>
        </w:rPr>
        <w:t>.  The only thing</w:t>
      </w:r>
      <w:r w:rsidR="008B0F63">
        <w:rPr>
          <w:rFonts w:ascii="Times New Roman" w:hAnsi="Times New Roman" w:cs="Times New Roman"/>
        </w:rPr>
        <w:t xml:space="preserve"> </w:t>
      </w:r>
      <w:r w:rsidR="009577DB">
        <w:rPr>
          <w:rFonts w:ascii="Times New Roman" w:hAnsi="Times New Roman" w:cs="Times New Roman"/>
        </w:rPr>
        <w:t xml:space="preserve">that is </w:t>
      </w:r>
      <w:r w:rsidR="008B0F63">
        <w:rPr>
          <w:rFonts w:ascii="Times New Roman" w:hAnsi="Times New Roman" w:cs="Times New Roman"/>
        </w:rPr>
        <w:t xml:space="preserve">required is </w:t>
      </w:r>
      <w:r w:rsidR="009577DB">
        <w:rPr>
          <w:rFonts w:ascii="Times New Roman" w:hAnsi="Times New Roman" w:cs="Times New Roman"/>
        </w:rPr>
        <w:t xml:space="preserve">to have a single unitary input. </w:t>
      </w:r>
    </w:p>
    <w:p w14:paraId="459BF88B" w14:textId="77777777" w:rsidR="00174107" w:rsidRDefault="00174107" w:rsidP="001131D9">
      <w:pPr>
        <w:rPr>
          <w:rFonts w:ascii="Times New Roman" w:hAnsi="Times New Roman" w:cs="Times New Roman"/>
          <w:b/>
        </w:rPr>
      </w:pPr>
    </w:p>
    <w:p w14:paraId="0B9AD2DA" w14:textId="77777777" w:rsidR="00174107" w:rsidRDefault="00174107" w:rsidP="001131D9">
      <w:pPr>
        <w:rPr>
          <w:rFonts w:ascii="Times New Roman" w:hAnsi="Times New Roman" w:cs="Times New Roman"/>
          <w:b/>
        </w:rPr>
      </w:pPr>
    </w:p>
    <w:p w14:paraId="7C289654" w14:textId="77777777" w:rsidR="00BC7BE7" w:rsidRDefault="00BC7BE7">
      <w:pPr>
        <w:rPr>
          <w:rFonts w:ascii="Times New Roman" w:hAnsi="Times New Roman" w:cs="Times New Roman"/>
          <w:b/>
        </w:rPr>
      </w:pPr>
      <w:r>
        <w:rPr>
          <w:rFonts w:ascii="Times New Roman" w:hAnsi="Times New Roman" w:cs="Times New Roman"/>
          <w:b/>
        </w:rPr>
        <w:br w:type="page"/>
      </w:r>
    </w:p>
    <w:p w14:paraId="353CC2A8" w14:textId="77777777" w:rsidR="00D46AE3" w:rsidRDefault="00D46AE3" w:rsidP="00D46AE3">
      <w:pPr>
        <w:rPr>
          <w:rFonts w:ascii="Times New Roman" w:hAnsi="Times New Roman" w:cs="Times New Roman"/>
        </w:rPr>
      </w:pPr>
      <w:r>
        <w:rPr>
          <w:rFonts w:ascii="Times New Roman" w:hAnsi="Times New Roman" w:cs="Times New Roman"/>
        </w:rPr>
        <w:t>Figure 1: Average Number of Publications per Year, 2000-2006</w:t>
      </w:r>
    </w:p>
    <w:p w14:paraId="77046AB0" w14:textId="77777777" w:rsidR="00D46AE3" w:rsidRDefault="00D46AE3" w:rsidP="00D46AE3">
      <w:pPr>
        <w:rPr>
          <w:rFonts w:ascii="Times New Roman" w:hAnsi="Times New Roman" w:cs="Times New Roman"/>
        </w:rPr>
      </w:pPr>
    </w:p>
    <w:p w14:paraId="1B78EF7B" w14:textId="7C8F7EE4" w:rsidR="00D46AE3" w:rsidRDefault="004B715C" w:rsidP="00D46AE3">
      <w:r>
        <w:rPr>
          <w:noProof/>
        </w:rPr>
        <mc:AlternateContent>
          <mc:Choice Requires="wps">
            <w:drawing>
              <wp:anchor distT="0" distB="0" distL="114300" distR="114300" simplePos="0" relativeHeight="251663360" behindDoc="0" locked="0" layoutInCell="1" allowOverlap="1" wp14:anchorId="2643B665" wp14:editId="3DC8C3B3">
                <wp:simplePos x="0" y="0"/>
                <wp:positionH relativeFrom="column">
                  <wp:posOffset>0</wp:posOffset>
                </wp:positionH>
                <wp:positionV relativeFrom="paragraph">
                  <wp:posOffset>-7620</wp:posOffset>
                </wp:positionV>
                <wp:extent cx="46863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pt" to="369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4384" behindDoc="0" locked="0" layoutInCell="1" allowOverlap="1" wp14:anchorId="5AA03F1F" wp14:editId="50C6E2F2">
                <wp:simplePos x="0" y="0"/>
                <wp:positionH relativeFrom="column">
                  <wp:posOffset>4686300</wp:posOffset>
                </wp:positionH>
                <wp:positionV relativeFrom="paragraph">
                  <wp:posOffset>-7620</wp:posOffset>
                </wp:positionV>
                <wp:extent cx="0" cy="3200400"/>
                <wp:effectExtent l="50800" t="25400" r="76200" b="76200"/>
                <wp:wrapNone/>
                <wp:docPr id="9" name="Straight Connector 9"/>
                <wp:cNvGraphicFramePr/>
                <a:graphic xmlns:a="http://schemas.openxmlformats.org/drawingml/2006/main">
                  <a:graphicData uri="http://schemas.microsoft.com/office/word/2010/wordprocessingShape">
                    <wps:wsp>
                      <wps:cNvCnPr/>
                      <wps:spPr>
                        <a:xfrm>
                          <a:off x="0" y="0"/>
                          <a:ext cx="0" cy="3200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pt,-.55pt" to="369pt,25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5408" behindDoc="0" locked="0" layoutInCell="1" allowOverlap="1" wp14:anchorId="126051F6" wp14:editId="2803F47B">
                <wp:simplePos x="0" y="0"/>
                <wp:positionH relativeFrom="column">
                  <wp:posOffset>0</wp:posOffset>
                </wp:positionH>
                <wp:positionV relativeFrom="paragraph">
                  <wp:posOffset>-7620</wp:posOffset>
                </wp:positionV>
                <wp:extent cx="0" cy="3200400"/>
                <wp:effectExtent l="50800" t="25400" r="76200" b="76200"/>
                <wp:wrapNone/>
                <wp:docPr id="10" name="Straight Connector 10"/>
                <wp:cNvGraphicFramePr/>
                <a:graphic xmlns:a="http://schemas.openxmlformats.org/drawingml/2006/main">
                  <a:graphicData uri="http://schemas.microsoft.com/office/word/2010/wordprocessingShape">
                    <wps:wsp>
                      <wps:cNvCnPr/>
                      <wps:spPr>
                        <a:xfrm>
                          <a:off x="0" y="0"/>
                          <a:ext cx="0" cy="3200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5pt" to="0,25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" strokecolor="#4f81bd [3204]" strokeweight="2pt">
                <v:shadow on="t" opacity="24903f" mv:blur="40000f" origin=",.5" offset="0,20000emu"/>
              </v:line>
            </w:pict>
          </mc:Fallback>
        </mc:AlternateContent>
      </w:r>
      <w:r w:rsidR="00D46AE3">
        <w:rPr>
          <w:noProof/>
        </w:rPr>
        <w:drawing>
          <wp:inline distT="0" distB="0" distL="0" distR="0" wp14:anchorId="1EE43E75" wp14:editId="256620F5">
            <wp:extent cx="4754880" cy="285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880" cy="2854960"/>
                    </a:xfrm>
                    <a:prstGeom prst="rect">
                      <a:avLst/>
                    </a:prstGeom>
                    <a:noFill/>
                    <a:ln>
                      <a:noFill/>
                    </a:ln>
                  </pic:spPr>
                </pic:pic>
              </a:graphicData>
            </a:graphic>
          </wp:inline>
        </w:drawing>
      </w:r>
    </w:p>
    <w:p w14:paraId="0987FBC2" w14:textId="76181AB3" w:rsidR="00D46AE3" w:rsidRPr="004B715C" w:rsidRDefault="004B715C" w:rsidP="00D46AE3">
      <w:pPr>
        <w:rPr>
          <w:rFonts w:ascii="Times New Roman" w:hAnsi="Times New Roman" w:cs="Times New Roman"/>
        </w:rPr>
      </w:pPr>
      <w:r>
        <w:t xml:space="preserve">             </w:t>
      </w:r>
      <w:r w:rsidRPr="004B715C">
        <w:rPr>
          <w:rFonts w:ascii="Times New Roman" w:hAnsi="Times New Roman" w:cs="Times New Roman"/>
        </w:rPr>
        <w:t xml:space="preserve">2000 </w:t>
      </w:r>
      <w:r>
        <w:rPr>
          <w:rFonts w:ascii="Times New Roman" w:hAnsi="Times New Roman" w:cs="Times New Roman"/>
        </w:rPr>
        <w:t xml:space="preserve">       2001       2002       2003        2004      2005        2006</w:t>
      </w:r>
    </w:p>
    <w:p w14:paraId="40D1EC30" w14:textId="31EED54F" w:rsidR="00D46AE3" w:rsidRDefault="004B715C" w:rsidP="00D46AE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279FFC8" wp14:editId="3663C3E9">
                <wp:simplePos x="0" y="0"/>
                <wp:positionH relativeFrom="column">
                  <wp:posOffset>0</wp:posOffset>
                </wp:positionH>
                <wp:positionV relativeFrom="paragraph">
                  <wp:posOffset>162560</wp:posOffset>
                </wp:positionV>
                <wp:extent cx="4686300" cy="0"/>
                <wp:effectExtent l="50800" t="25400" r="63500" b="101600"/>
                <wp:wrapNone/>
                <wp:docPr id="11" name="Straight Connector 11"/>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2.8pt" to="369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TXvLoBAADFAwAADgAAAGRycy9lMm9Eb2MueG1srFPBjhMxDL0j8Q9R7nSmBVW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" strokecolor="#4f81bd [3204]" strokeweight="2pt">
                <v:shadow on="t" opacity="24903f" mv:blur="40000f" origin=",.5" offset="0,20000emu"/>
              </v:line>
            </w:pict>
          </mc:Fallback>
        </mc:AlternateContent>
      </w:r>
    </w:p>
    <w:p w14:paraId="505EB571" w14:textId="53E09761" w:rsidR="00D46AE3" w:rsidRPr="00811F94" w:rsidRDefault="00D46AE3" w:rsidP="00D46AE3">
      <w:pPr>
        <w:ind w:left="900" w:hanging="900"/>
        <w:rPr>
          <w:rFonts w:ascii="Times New Roman" w:hAnsi="Times New Roman" w:cs="Times New Roman"/>
        </w:rPr>
      </w:pPr>
      <w:r>
        <w:rPr>
          <w:rFonts w:ascii="Times New Roman" w:hAnsi="Times New Roman" w:cs="Times New Roman"/>
        </w:rPr>
        <w:br w:type="page"/>
        <w:t>Figure 2: Averag</w:t>
      </w:r>
      <w:r w:rsidR="00B36DBA">
        <w:rPr>
          <w:rFonts w:ascii="Times New Roman" w:hAnsi="Times New Roman" w:cs="Times New Roman"/>
        </w:rPr>
        <w:t>e Number of Publications per Faculty Member,</w:t>
      </w:r>
      <w:r>
        <w:rPr>
          <w:rFonts w:ascii="Times New Roman" w:hAnsi="Times New Roman" w:cs="Times New Roman"/>
        </w:rPr>
        <w:t xml:space="preserve"> 2000-2006 </w:t>
      </w:r>
    </w:p>
    <w:p w14:paraId="6098920B" w14:textId="77777777" w:rsidR="00124280" w:rsidRDefault="00124280" w:rsidP="00124280">
      <w:pPr>
        <w:jc w:val="both"/>
        <w:rPr>
          <w:rFonts w:ascii="Times New Roman" w:hAnsi="Times New Roman" w:cs="Times New Roman"/>
        </w:rPr>
      </w:pPr>
    </w:p>
    <w:p w14:paraId="58278EB4" w14:textId="77777777" w:rsidR="00124280" w:rsidRDefault="00124280" w:rsidP="00D46AE3">
      <w:pPr>
        <w:ind w:left="567" w:hanging="567"/>
        <w:jc w:val="both"/>
        <w:rPr>
          <w:rFonts w:ascii="Times New Roman" w:hAnsi="Times New Roman" w:cs="Times New Roman"/>
        </w:rPr>
      </w:pPr>
    </w:p>
    <w:p w14:paraId="64B7CFCC" w14:textId="6F94C6E0" w:rsidR="00D46AE3" w:rsidRDefault="00124280" w:rsidP="00D46AE3">
      <w:pPr>
        <w:ind w:left="567" w:hanging="567"/>
        <w:jc w:val="both"/>
        <w:rPr>
          <w:rFonts w:ascii="Times New Roman" w:hAnsi="Times New Roman" w:cs="Times New Roman"/>
        </w:rPr>
      </w:pPr>
      <w:r>
        <w:rPr>
          <w:noProof/>
        </w:rPr>
        <w:drawing>
          <wp:inline distT="0" distB="0" distL="0" distR="0" wp14:anchorId="399E6487" wp14:editId="4B8F2271">
            <wp:extent cx="5481320" cy="3357880"/>
            <wp:effectExtent l="0" t="0" r="30480" b="203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46AE3">
        <w:rPr>
          <w:rFonts w:ascii="Times New Roman" w:hAnsi="Times New Roman" w:cs="Times New Roman"/>
        </w:rPr>
        <w:br w:type="page"/>
        <w:t>Figur</w:t>
      </w:r>
      <w:r w:rsidR="009D0E9C">
        <w:rPr>
          <w:rFonts w:ascii="Times New Roman" w:hAnsi="Times New Roman" w:cs="Times New Roman"/>
        </w:rPr>
        <w:t>e 3: Average RP</w:t>
      </w:r>
      <w:r w:rsidR="008B0F63">
        <w:rPr>
          <w:rFonts w:ascii="Times New Roman" w:hAnsi="Times New Roman" w:cs="Times New Roman"/>
        </w:rPr>
        <w:t>I Score per</w:t>
      </w:r>
      <w:r w:rsidR="00B36DBA">
        <w:rPr>
          <w:rFonts w:ascii="Times New Roman" w:hAnsi="Times New Roman" w:cs="Times New Roman"/>
        </w:rPr>
        <w:t xml:space="preserve"> Faculty Member,</w:t>
      </w:r>
      <w:r w:rsidR="00D46AE3">
        <w:rPr>
          <w:rFonts w:ascii="Times New Roman" w:hAnsi="Times New Roman" w:cs="Times New Roman"/>
        </w:rPr>
        <w:t xml:space="preserve"> 2000-2006</w:t>
      </w:r>
    </w:p>
    <w:p w14:paraId="7AABA64A" w14:textId="77777777" w:rsidR="00D46AE3" w:rsidRDefault="00D46AE3" w:rsidP="00D46AE3">
      <w:pPr>
        <w:ind w:left="567" w:hanging="567"/>
        <w:jc w:val="both"/>
        <w:rPr>
          <w:rFonts w:ascii="Times New Roman" w:hAnsi="Times New Roman" w:cs="Times New Roman"/>
        </w:rPr>
      </w:pPr>
    </w:p>
    <w:p w14:paraId="08A8D2D4" w14:textId="77777777" w:rsidR="00D46AE3" w:rsidRDefault="00D46AE3" w:rsidP="00D46AE3">
      <w:pPr>
        <w:ind w:left="567" w:hanging="567"/>
        <w:jc w:val="both"/>
        <w:rPr>
          <w:rFonts w:ascii="Times New Roman" w:hAnsi="Times New Roman" w:cs="Times New Roman"/>
        </w:rPr>
      </w:pPr>
    </w:p>
    <w:p w14:paraId="14F3CF44" w14:textId="6D105925" w:rsidR="005420A2" w:rsidRDefault="005420A2" w:rsidP="00D46AE3">
      <w:pPr>
        <w:ind w:left="567" w:hanging="567"/>
        <w:jc w:val="both"/>
        <w:rPr>
          <w:rFonts w:ascii="Times New Roman" w:hAnsi="Times New Roman" w:cs="Times New Roman"/>
        </w:rPr>
      </w:pPr>
      <w:r>
        <w:rPr>
          <w:noProof/>
        </w:rPr>
        <w:drawing>
          <wp:inline distT="0" distB="0" distL="0" distR="0" wp14:anchorId="2738DD93" wp14:editId="79390CE4">
            <wp:extent cx="5270500" cy="3129280"/>
            <wp:effectExtent l="0" t="0" r="12700" b="203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ACD440" w14:textId="77777777" w:rsidR="00D46AE3" w:rsidRDefault="00D46AE3" w:rsidP="00D46AE3">
      <w:pPr>
        <w:ind w:left="567" w:hanging="567"/>
        <w:jc w:val="both"/>
        <w:rPr>
          <w:rFonts w:ascii="Times New Roman" w:hAnsi="Times New Roman" w:cs="Times New Roman"/>
        </w:rPr>
      </w:pPr>
    </w:p>
    <w:p w14:paraId="3B9A23C1" w14:textId="77777777" w:rsidR="00D46AE3" w:rsidRDefault="00D46AE3">
      <w:pPr>
        <w:rPr>
          <w:rFonts w:ascii="Times New Roman" w:hAnsi="Times New Roman" w:cs="Times New Roman"/>
        </w:rPr>
      </w:pPr>
      <w:r>
        <w:rPr>
          <w:rFonts w:ascii="Times New Roman" w:hAnsi="Times New Roman" w:cs="Times New Roman"/>
        </w:rPr>
        <w:br w:type="page"/>
      </w:r>
    </w:p>
    <w:p w14:paraId="6ABA56FD" w14:textId="414C843F" w:rsidR="00D46AE3" w:rsidRDefault="00D46AE3" w:rsidP="00D46AE3">
      <w:pPr>
        <w:ind w:left="567" w:hanging="567"/>
        <w:jc w:val="both"/>
        <w:rPr>
          <w:rFonts w:ascii="Times New Roman" w:hAnsi="Times New Roman" w:cs="Times New Roman"/>
        </w:rPr>
      </w:pPr>
      <w:r>
        <w:rPr>
          <w:rFonts w:ascii="Times New Roman" w:hAnsi="Times New Roman" w:cs="Times New Roman"/>
        </w:rPr>
        <w:t xml:space="preserve">Figure 4: </w:t>
      </w:r>
      <w:r w:rsidR="00860ACD">
        <w:rPr>
          <w:rFonts w:ascii="Times New Roman" w:hAnsi="Times New Roman" w:cs="Times New Roman"/>
        </w:rPr>
        <w:t>Aggregate</w:t>
      </w:r>
      <w:r>
        <w:rPr>
          <w:rFonts w:ascii="Times New Roman" w:hAnsi="Times New Roman" w:cs="Times New Roman"/>
        </w:rPr>
        <w:t xml:space="preserve"> </w:t>
      </w:r>
      <w:r w:rsidR="00B36DBA">
        <w:rPr>
          <w:rFonts w:ascii="Times New Roman" w:hAnsi="Times New Roman" w:cs="Times New Roman"/>
        </w:rPr>
        <w:t>(Department</w:t>
      </w:r>
      <w:r w:rsidR="00B00EB8">
        <w:rPr>
          <w:rFonts w:ascii="Times New Roman" w:hAnsi="Times New Roman" w:cs="Times New Roman"/>
        </w:rPr>
        <w:t>al</w:t>
      </w:r>
      <w:r w:rsidR="00B36DBA">
        <w:rPr>
          <w:rFonts w:ascii="Times New Roman" w:hAnsi="Times New Roman" w:cs="Times New Roman"/>
        </w:rPr>
        <w:t xml:space="preserve">) </w:t>
      </w:r>
      <w:r w:rsidR="009D0E9C">
        <w:rPr>
          <w:rFonts w:ascii="Times New Roman" w:hAnsi="Times New Roman" w:cs="Times New Roman"/>
        </w:rPr>
        <w:t>RP</w:t>
      </w:r>
      <w:r w:rsidR="008B0F63">
        <w:rPr>
          <w:rFonts w:ascii="Times New Roman" w:hAnsi="Times New Roman" w:cs="Times New Roman"/>
        </w:rPr>
        <w:t>I Score</w:t>
      </w:r>
      <w:r w:rsidR="00550A03">
        <w:rPr>
          <w:rFonts w:ascii="Times New Roman" w:hAnsi="Times New Roman" w:cs="Times New Roman"/>
        </w:rPr>
        <w:t>s</w:t>
      </w:r>
      <w:r w:rsidR="008B0F63">
        <w:rPr>
          <w:rFonts w:ascii="Times New Roman" w:hAnsi="Times New Roman" w:cs="Times New Roman"/>
        </w:rPr>
        <w:t>, 2000-2006</w:t>
      </w:r>
    </w:p>
    <w:p w14:paraId="09A821D2" w14:textId="77777777" w:rsidR="00D46AE3" w:rsidRDefault="00D46AE3" w:rsidP="00D46AE3">
      <w:pPr>
        <w:ind w:left="567" w:hanging="567"/>
        <w:jc w:val="both"/>
        <w:rPr>
          <w:rFonts w:ascii="Times New Roman" w:hAnsi="Times New Roman" w:cs="Times New Roman"/>
        </w:rPr>
      </w:pPr>
    </w:p>
    <w:p w14:paraId="7A535FD5" w14:textId="77777777" w:rsidR="008E7BF0" w:rsidRDefault="008E7BF0" w:rsidP="008E7BF0">
      <w:pPr>
        <w:jc w:val="both"/>
        <w:rPr>
          <w:rFonts w:ascii="Times New Roman" w:hAnsi="Times New Roman" w:cs="Times New Roman"/>
        </w:rPr>
      </w:pPr>
    </w:p>
    <w:p w14:paraId="6B907001" w14:textId="31A3D85F" w:rsidR="008E7BF0" w:rsidRDefault="008E7BF0" w:rsidP="00D46AE3">
      <w:pPr>
        <w:ind w:left="567" w:hanging="567"/>
        <w:jc w:val="both"/>
        <w:rPr>
          <w:rFonts w:ascii="Times New Roman" w:hAnsi="Times New Roman" w:cs="Times New Roman"/>
        </w:rPr>
      </w:pPr>
      <w:r>
        <w:rPr>
          <w:noProof/>
        </w:rPr>
        <w:drawing>
          <wp:inline distT="0" distB="0" distL="0" distR="0" wp14:anchorId="75B073AC" wp14:editId="2FEDFEEA">
            <wp:extent cx="5481320" cy="2989580"/>
            <wp:effectExtent l="0" t="0" r="30480" b="330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3E0FA5" w14:textId="77777777" w:rsidR="00D46AE3" w:rsidRDefault="00D46AE3" w:rsidP="00D46AE3">
      <w:pPr>
        <w:ind w:left="567" w:hanging="567"/>
        <w:jc w:val="both"/>
        <w:rPr>
          <w:rFonts w:ascii="Times New Roman" w:hAnsi="Times New Roman" w:cs="Times New Roman"/>
        </w:rPr>
      </w:pPr>
    </w:p>
    <w:p w14:paraId="3CEB0AE7" w14:textId="77777777" w:rsidR="00D46AE3" w:rsidRDefault="00D46AE3" w:rsidP="00D46AE3">
      <w:pPr>
        <w:ind w:left="567" w:hanging="567"/>
        <w:jc w:val="both"/>
        <w:rPr>
          <w:rFonts w:ascii="Times New Roman" w:hAnsi="Times New Roman" w:cs="Times New Roman"/>
        </w:rPr>
      </w:pPr>
    </w:p>
    <w:p w14:paraId="5622E853" w14:textId="7275F1C0" w:rsidR="00D46AE3" w:rsidRPr="00596B32" w:rsidRDefault="00D46AE3" w:rsidP="00D46AE3">
      <w:pPr>
        <w:ind w:left="567" w:hanging="567"/>
        <w:jc w:val="both"/>
        <w:rPr>
          <w:rFonts w:ascii="Times New Roman" w:hAnsi="Times New Roman" w:cs="Times New Roman"/>
          <w:b/>
        </w:rPr>
      </w:pPr>
      <w:r>
        <w:rPr>
          <w:rFonts w:ascii="Times New Roman" w:hAnsi="Times New Roman" w:cs="Times New Roman"/>
        </w:rPr>
        <w:br w:type="page"/>
      </w:r>
    </w:p>
    <w:p w14:paraId="6ED381C4" w14:textId="235A68E0" w:rsidR="001131D9" w:rsidRPr="00596B32" w:rsidRDefault="001131D9" w:rsidP="00B35F2D">
      <w:pPr>
        <w:rPr>
          <w:rFonts w:ascii="Times New Roman" w:hAnsi="Times New Roman" w:cs="Times New Roman"/>
          <w:b/>
        </w:rPr>
      </w:pPr>
      <w:r w:rsidRPr="00596B32">
        <w:rPr>
          <w:rFonts w:ascii="Times New Roman" w:hAnsi="Times New Roman" w:cs="Times New Roman"/>
          <w:b/>
        </w:rPr>
        <w:t>References</w:t>
      </w:r>
    </w:p>
    <w:p w14:paraId="43262BC6" w14:textId="77777777" w:rsidR="001131D9" w:rsidRDefault="001131D9" w:rsidP="001131D9">
      <w:pPr>
        <w:rPr>
          <w:rFonts w:ascii="Times New Roman" w:hAnsi="Times New Roman" w:cs="Times New Roman"/>
        </w:rPr>
      </w:pPr>
    </w:p>
    <w:p w14:paraId="2A6A103D" w14:textId="3160263D" w:rsidR="001131D9" w:rsidRDefault="001131D9" w:rsidP="001131D9">
      <w:pPr>
        <w:ind w:left="709" w:hanging="709"/>
        <w:jc w:val="both"/>
        <w:rPr>
          <w:rFonts w:ascii="Times New Roman" w:hAnsi="Times New Roman" w:cs="Times New Roman"/>
        </w:rPr>
      </w:pPr>
      <w:proofErr w:type="spellStart"/>
      <w:r>
        <w:rPr>
          <w:rFonts w:ascii="Times New Roman" w:hAnsi="Times New Roman" w:cs="Times New Roman"/>
        </w:rPr>
        <w:t>Bjurek</w:t>
      </w:r>
      <w:proofErr w:type="spellEnd"/>
      <w:r>
        <w:rPr>
          <w:rFonts w:ascii="Times New Roman" w:hAnsi="Times New Roman" w:cs="Times New Roman"/>
        </w:rPr>
        <w:t xml:space="preserve">, H., </w:t>
      </w:r>
      <w:proofErr w:type="spellStart"/>
      <w:r>
        <w:rPr>
          <w:rFonts w:ascii="Times New Roman" w:hAnsi="Times New Roman" w:cs="Times New Roman"/>
        </w:rPr>
        <w:t>Hjalmarsson</w:t>
      </w:r>
      <w:proofErr w:type="spellEnd"/>
      <w:r>
        <w:rPr>
          <w:rFonts w:ascii="Times New Roman" w:hAnsi="Times New Roman" w:cs="Times New Roman"/>
        </w:rPr>
        <w:t xml:space="preserve">, L. and F.R. </w:t>
      </w:r>
      <w:proofErr w:type="spellStart"/>
      <w:r w:rsidR="00FF2640" w:rsidRPr="008B5387">
        <w:rPr>
          <w:rFonts w:ascii="Times New Roman" w:hAnsi="Times New Roman" w:cs="Times New Roman"/>
        </w:rPr>
        <w:t>Førsund</w:t>
      </w:r>
      <w:proofErr w:type="spellEnd"/>
      <w:r>
        <w:rPr>
          <w:rFonts w:ascii="Times New Roman" w:hAnsi="Times New Roman" w:cs="Times New Roman"/>
        </w:rPr>
        <w:t>. Deterministic Parametric and Non-</w:t>
      </w:r>
      <w:r w:rsidR="00BC7BE7">
        <w:rPr>
          <w:rFonts w:ascii="Times New Roman" w:hAnsi="Times New Roman" w:cs="Times New Roman"/>
        </w:rPr>
        <w:t>parametric Estimation of Efficie</w:t>
      </w:r>
      <w:r>
        <w:rPr>
          <w:rFonts w:ascii="Times New Roman" w:hAnsi="Times New Roman" w:cs="Times New Roman"/>
        </w:rPr>
        <w:t xml:space="preserve">ncy in Service Production: A Comparison, </w:t>
      </w:r>
      <w:r>
        <w:rPr>
          <w:rFonts w:ascii="Times New Roman" w:hAnsi="Times New Roman" w:cs="Times New Roman"/>
          <w:i/>
        </w:rPr>
        <w:t>Journal of Econometrics</w:t>
      </w:r>
      <w:r>
        <w:rPr>
          <w:rFonts w:ascii="Times New Roman" w:hAnsi="Times New Roman" w:cs="Times New Roman"/>
        </w:rPr>
        <w:t>, 1990, 46</w:t>
      </w:r>
      <w:r w:rsidR="00DA0907">
        <w:rPr>
          <w:rFonts w:ascii="Times New Roman" w:hAnsi="Times New Roman" w:cs="Times New Roman"/>
        </w:rPr>
        <w:t>(</w:t>
      </w:r>
      <w:r w:rsidR="00DA0907" w:rsidRPr="00DA0907">
        <w:rPr>
          <w:rFonts w:ascii="Times New Roman" w:hAnsi="Times New Roman" w:cs="Times New Roman"/>
          <w:b/>
        </w:rPr>
        <w:t>1-2</w:t>
      </w:r>
      <w:r w:rsidR="00DA0907">
        <w:rPr>
          <w:rFonts w:ascii="Times New Roman" w:hAnsi="Times New Roman" w:cs="Times New Roman"/>
        </w:rPr>
        <w:t>)</w:t>
      </w:r>
      <w:r>
        <w:rPr>
          <w:rFonts w:ascii="Times New Roman" w:hAnsi="Times New Roman" w:cs="Times New Roman"/>
        </w:rPr>
        <w:t>, 213-27.</w:t>
      </w:r>
    </w:p>
    <w:p w14:paraId="41FDCEAC" w14:textId="77777777" w:rsidR="001131D9" w:rsidRPr="001131D9" w:rsidRDefault="001131D9" w:rsidP="001131D9">
      <w:pPr>
        <w:ind w:left="709" w:hanging="709"/>
        <w:jc w:val="both"/>
        <w:rPr>
          <w:rFonts w:ascii="Times New Roman" w:hAnsi="Times New Roman" w:cs="Times New Roman"/>
        </w:rPr>
      </w:pPr>
    </w:p>
    <w:p w14:paraId="6BB139EE" w14:textId="50A7C867" w:rsidR="00B35F2D" w:rsidRDefault="00B35F2D" w:rsidP="00D66228">
      <w:pPr>
        <w:ind w:left="709" w:hanging="709"/>
        <w:jc w:val="both"/>
        <w:rPr>
          <w:rFonts w:ascii="Times New Roman" w:hAnsi="Times New Roman" w:cs="Times New Roman"/>
        </w:rPr>
      </w:pPr>
      <w:r>
        <w:rPr>
          <w:rFonts w:ascii="Times New Roman" w:hAnsi="Times New Roman" w:cs="Times New Roman"/>
        </w:rPr>
        <w:t xml:space="preserve">Bowen, H.P. and W. </w:t>
      </w:r>
      <w:proofErr w:type="spellStart"/>
      <w:r>
        <w:rPr>
          <w:rFonts w:ascii="Times New Roman" w:hAnsi="Times New Roman" w:cs="Times New Roman"/>
        </w:rPr>
        <w:t>Moesen</w:t>
      </w:r>
      <w:proofErr w:type="spellEnd"/>
      <w:r>
        <w:rPr>
          <w:rFonts w:ascii="Times New Roman" w:hAnsi="Times New Roman" w:cs="Times New Roman"/>
        </w:rPr>
        <w:t xml:space="preserve">. Composite Competitiveness Indicators with Endogenous versus Predetermined Weights: An Application to the World Economic Forum’s Global Competiveness Index, </w:t>
      </w:r>
      <w:r>
        <w:rPr>
          <w:rFonts w:ascii="Times New Roman" w:hAnsi="Times New Roman" w:cs="Times New Roman"/>
          <w:i/>
        </w:rPr>
        <w:t>Competitiveness Review: An International Business Journal</w:t>
      </w:r>
      <w:r>
        <w:rPr>
          <w:rFonts w:ascii="Times New Roman" w:hAnsi="Times New Roman" w:cs="Times New Roman"/>
        </w:rPr>
        <w:t>, 2011, 21</w:t>
      </w:r>
      <w:r w:rsidR="00DA0907">
        <w:rPr>
          <w:rFonts w:ascii="Times New Roman" w:hAnsi="Times New Roman" w:cs="Times New Roman"/>
        </w:rPr>
        <w:t>(</w:t>
      </w:r>
      <w:r w:rsidR="00DA0907" w:rsidRPr="00DA0907">
        <w:rPr>
          <w:rFonts w:ascii="Times New Roman" w:hAnsi="Times New Roman" w:cs="Times New Roman"/>
          <w:b/>
        </w:rPr>
        <w:t>2</w:t>
      </w:r>
      <w:r w:rsidR="00DA0907">
        <w:rPr>
          <w:rFonts w:ascii="Times New Roman" w:hAnsi="Times New Roman" w:cs="Times New Roman"/>
        </w:rPr>
        <w:t>)</w:t>
      </w:r>
      <w:r>
        <w:rPr>
          <w:rFonts w:ascii="Times New Roman" w:hAnsi="Times New Roman" w:cs="Times New Roman"/>
        </w:rPr>
        <w:t>, 129-51.</w:t>
      </w:r>
    </w:p>
    <w:p w14:paraId="0AD25C9C" w14:textId="09085973" w:rsidR="00B35F2D" w:rsidRDefault="00B35F2D" w:rsidP="00D66228">
      <w:pPr>
        <w:ind w:left="709" w:hanging="709"/>
        <w:jc w:val="both"/>
        <w:rPr>
          <w:rFonts w:ascii="Times New Roman" w:hAnsi="Times New Roman" w:cs="Times New Roman"/>
        </w:rPr>
      </w:pPr>
      <w:r>
        <w:rPr>
          <w:rFonts w:ascii="Times New Roman" w:hAnsi="Times New Roman" w:cs="Times New Roman"/>
        </w:rPr>
        <w:t xml:space="preserve"> </w:t>
      </w:r>
    </w:p>
    <w:p w14:paraId="4C761E58" w14:textId="4FBFF3E1" w:rsidR="00D66228" w:rsidRDefault="00D66228" w:rsidP="00D66228">
      <w:pPr>
        <w:ind w:left="709" w:hanging="709"/>
        <w:jc w:val="both"/>
        <w:rPr>
          <w:rFonts w:ascii="Times New Roman" w:hAnsi="Times New Roman" w:cs="Times New Roman"/>
        </w:rPr>
      </w:pPr>
      <w:proofErr w:type="spellStart"/>
      <w:r>
        <w:rPr>
          <w:rFonts w:ascii="Times New Roman" w:hAnsi="Times New Roman" w:cs="Times New Roman"/>
        </w:rPr>
        <w:t>Caporaletti</w:t>
      </w:r>
      <w:proofErr w:type="spellEnd"/>
      <w:r>
        <w:rPr>
          <w:rFonts w:ascii="Times New Roman" w:hAnsi="Times New Roman" w:cs="Times New Roman"/>
        </w:rPr>
        <w:t xml:space="preserve">, L.E., </w:t>
      </w:r>
      <w:proofErr w:type="spellStart"/>
      <w:r>
        <w:rPr>
          <w:rFonts w:ascii="Times New Roman" w:hAnsi="Times New Roman" w:cs="Times New Roman"/>
        </w:rPr>
        <w:t>Dula</w:t>
      </w:r>
      <w:proofErr w:type="spellEnd"/>
      <w:r>
        <w:rPr>
          <w:rFonts w:ascii="Times New Roman" w:hAnsi="Times New Roman" w:cs="Times New Roman"/>
        </w:rPr>
        <w:t xml:space="preserve">, J.H. and N.K. </w:t>
      </w:r>
      <w:proofErr w:type="spellStart"/>
      <w:r>
        <w:rPr>
          <w:rFonts w:ascii="Times New Roman" w:hAnsi="Times New Roman" w:cs="Times New Roman"/>
        </w:rPr>
        <w:t>Womer</w:t>
      </w:r>
      <w:proofErr w:type="spellEnd"/>
      <w:r>
        <w:rPr>
          <w:rFonts w:ascii="Times New Roman" w:hAnsi="Times New Roman" w:cs="Times New Roman"/>
        </w:rPr>
        <w:t>. Performance Ev</w:t>
      </w:r>
      <w:r w:rsidR="00605328">
        <w:rPr>
          <w:rFonts w:ascii="Times New Roman" w:hAnsi="Times New Roman" w:cs="Times New Roman"/>
        </w:rPr>
        <w:t>aluation B</w:t>
      </w:r>
      <w:r>
        <w:rPr>
          <w:rFonts w:ascii="Times New Roman" w:hAnsi="Times New Roman" w:cs="Times New Roman"/>
        </w:rPr>
        <w:t xml:space="preserve">ased on Multiple Attributes with Nonparametric Frontiers, </w:t>
      </w:r>
      <w:r>
        <w:rPr>
          <w:rFonts w:ascii="Times New Roman" w:hAnsi="Times New Roman" w:cs="Times New Roman"/>
          <w:i/>
        </w:rPr>
        <w:t>Omega</w:t>
      </w:r>
      <w:r>
        <w:rPr>
          <w:rFonts w:ascii="Times New Roman" w:hAnsi="Times New Roman" w:cs="Times New Roman"/>
        </w:rPr>
        <w:t>, 1999, 27</w:t>
      </w:r>
      <w:r w:rsidR="00DA0907">
        <w:rPr>
          <w:rFonts w:ascii="Times New Roman" w:hAnsi="Times New Roman" w:cs="Times New Roman"/>
        </w:rPr>
        <w:t>(</w:t>
      </w:r>
      <w:r w:rsidR="00DA0907" w:rsidRPr="00DA0907">
        <w:rPr>
          <w:rFonts w:ascii="Times New Roman" w:hAnsi="Times New Roman" w:cs="Times New Roman"/>
          <w:b/>
        </w:rPr>
        <w:t>6</w:t>
      </w:r>
      <w:r w:rsidR="00DA0907">
        <w:rPr>
          <w:rFonts w:ascii="Times New Roman" w:hAnsi="Times New Roman" w:cs="Times New Roman"/>
        </w:rPr>
        <w:t>)</w:t>
      </w:r>
      <w:r>
        <w:rPr>
          <w:rFonts w:ascii="Times New Roman" w:hAnsi="Times New Roman" w:cs="Times New Roman"/>
        </w:rPr>
        <w:t>, 637-45.</w:t>
      </w:r>
    </w:p>
    <w:p w14:paraId="6A76E158" w14:textId="77777777" w:rsidR="00D66228" w:rsidRPr="005F3909" w:rsidRDefault="00D66228" w:rsidP="00D66228">
      <w:pPr>
        <w:ind w:left="709" w:hanging="709"/>
        <w:jc w:val="both"/>
        <w:rPr>
          <w:rFonts w:ascii="Times New Roman" w:hAnsi="Times New Roman" w:cs="Times New Roman"/>
        </w:rPr>
      </w:pPr>
    </w:p>
    <w:p w14:paraId="11C7533A" w14:textId="77777777" w:rsidR="00FA6CE6" w:rsidRPr="00FA6CE6" w:rsidRDefault="00FA6CE6" w:rsidP="00FA6CE6">
      <w:pPr>
        <w:ind w:left="567" w:hanging="567"/>
        <w:jc w:val="both"/>
        <w:rPr>
          <w:rFonts w:ascii="Times New Roman" w:hAnsi="Times New Roman" w:cs="Times New Roman"/>
          <w:lang w:val="en-GB"/>
        </w:rPr>
      </w:pPr>
      <w:proofErr w:type="gramStart"/>
      <w:r w:rsidRPr="00FA6CE6">
        <w:rPr>
          <w:rFonts w:ascii="Times New Roman" w:hAnsi="Times New Roman" w:cs="Times New Roman"/>
          <w:lang w:val="en-GB"/>
        </w:rPr>
        <w:t>Charles, V. and M. Kumar.</w:t>
      </w:r>
      <w:proofErr w:type="gramEnd"/>
      <w:r w:rsidRPr="00FA6CE6">
        <w:rPr>
          <w:rFonts w:ascii="Times New Roman" w:hAnsi="Times New Roman" w:cs="Times New Roman"/>
          <w:lang w:val="en-GB"/>
        </w:rPr>
        <w:t xml:space="preserve"> Satisficing Data Envelopment Analysis: An Application to SERVQUAL Efficiency, </w:t>
      </w:r>
      <w:r w:rsidRPr="00FA6CE6">
        <w:rPr>
          <w:rFonts w:ascii="Times New Roman" w:hAnsi="Times New Roman" w:cs="Times New Roman"/>
          <w:i/>
          <w:lang w:val="en-GB"/>
        </w:rPr>
        <w:t>Measurement</w:t>
      </w:r>
      <w:r w:rsidRPr="00FA6CE6">
        <w:rPr>
          <w:rFonts w:ascii="Times New Roman" w:hAnsi="Times New Roman" w:cs="Times New Roman"/>
          <w:lang w:val="en-GB"/>
        </w:rPr>
        <w:t xml:space="preserve">, 2014, 51, 71-80. </w:t>
      </w:r>
    </w:p>
    <w:p w14:paraId="26D09151" w14:textId="77777777" w:rsidR="00FA6CE6" w:rsidRDefault="00FA6CE6" w:rsidP="00FA6CE6">
      <w:pPr>
        <w:ind w:left="567" w:hanging="567"/>
        <w:jc w:val="both"/>
        <w:rPr>
          <w:lang w:val="en-GB"/>
        </w:rPr>
      </w:pPr>
      <w:r>
        <w:rPr>
          <w:lang w:val="en-GB"/>
        </w:rPr>
        <w:t xml:space="preserve"> </w:t>
      </w:r>
    </w:p>
    <w:p w14:paraId="25615E0F" w14:textId="11FBDE20" w:rsidR="00632FEC" w:rsidRDefault="00632FEC" w:rsidP="001131D9">
      <w:pPr>
        <w:ind w:left="709" w:hanging="709"/>
        <w:jc w:val="both"/>
        <w:rPr>
          <w:rFonts w:ascii="Times New Roman" w:hAnsi="Times New Roman" w:cs="Times New Roman"/>
        </w:rPr>
      </w:pPr>
      <w:proofErr w:type="spellStart"/>
      <w:r>
        <w:rPr>
          <w:rFonts w:ascii="Times New Roman" w:hAnsi="Times New Roman" w:cs="Times New Roman"/>
        </w:rPr>
        <w:t>Charnes</w:t>
      </w:r>
      <w:proofErr w:type="spellEnd"/>
      <w:r>
        <w:rPr>
          <w:rFonts w:ascii="Times New Roman" w:hAnsi="Times New Roman" w:cs="Times New Roman"/>
        </w:rPr>
        <w:t xml:space="preserve">, A., Cooper, W.W. and E. Rhodes. Measuring the Efficiency of Decision Making Units, </w:t>
      </w:r>
      <w:r>
        <w:rPr>
          <w:rFonts w:ascii="Times New Roman" w:hAnsi="Times New Roman" w:cs="Times New Roman"/>
          <w:i/>
        </w:rPr>
        <w:t>European Journal of Operational Research</w:t>
      </w:r>
      <w:r>
        <w:rPr>
          <w:rFonts w:ascii="Times New Roman" w:hAnsi="Times New Roman" w:cs="Times New Roman"/>
        </w:rPr>
        <w:t>, 1978, 2</w:t>
      </w:r>
      <w:r w:rsidR="00DA0907">
        <w:rPr>
          <w:rFonts w:ascii="Times New Roman" w:hAnsi="Times New Roman" w:cs="Times New Roman"/>
        </w:rPr>
        <w:t>(</w:t>
      </w:r>
      <w:r w:rsidR="00DA0907" w:rsidRPr="00DA0907">
        <w:rPr>
          <w:rFonts w:ascii="Times New Roman" w:hAnsi="Times New Roman" w:cs="Times New Roman"/>
          <w:b/>
        </w:rPr>
        <w:t>6</w:t>
      </w:r>
      <w:r w:rsidR="00DA0907">
        <w:rPr>
          <w:rFonts w:ascii="Times New Roman" w:hAnsi="Times New Roman" w:cs="Times New Roman"/>
        </w:rPr>
        <w:t>)</w:t>
      </w:r>
      <w:r>
        <w:rPr>
          <w:rFonts w:ascii="Times New Roman" w:hAnsi="Times New Roman" w:cs="Times New Roman"/>
        </w:rPr>
        <w:t>, 429-44.</w:t>
      </w:r>
    </w:p>
    <w:p w14:paraId="2494148E" w14:textId="2362285D" w:rsidR="00632FEC" w:rsidRPr="00632FEC" w:rsidRDefault="00632FEC" w:rsidP="001131D9">
      <w:pPr>
        <w:ind w:left="709" w:hanging="709"/>
        <w:jc w:val="both"/>
        <w:rPr>
          <w:rFonts w:ascii="Times New Roman" w:hAnsi="Times New Roman" w:cs="Times New Roman"/>
          <w:i/>
        </w:rPr>
      </w:pPr>
      <w:r>
        <w:rPr>
          <w:rFonts w:ascii="Times New Roman" w:hAnsi="Times New Roman" w:cs="Times New Roman"/>
          <w:i/>
        </w:rPr>
        <w:t xml:space="preserve"> </w:t>
      </w:r>
    </w:p>
    <w:p w14:paraId="78A07511" w14:textId="06852DDF" w:rsidR="00EE77B1" w:rsidRPr="00EE77B1" w:rsidRDefault="00EE77B1" w:rsidP="00EE77B1">
      <w:pPr>
        <w:ind w:left="567" w:hanging="567"/>
        <w:jc w:val="both"/>
        <w:rPr>
          <w:rFonts w:ascii="Times New Roman" w:hAnsi="Times New Roman" w:cs="Times New Roman"/>
          <w:lang w:val="en-GB"/>
        </w:rPr>
      </w:pPr>
      <w:r w:rsidRPr="00EE77B1">
        <w:rPr>
          <w:rFonts w:ascii="Times New Roman" w:hAnsi="Times New Roman" w:cs="Times New Roman"/>
          <w:lang w:val="en-GB"/>
        </w:rPr>
        <w:t xml:space="preserve">Chen, J.X. Peer-estimation for Multiple Criteria ABC Inventory Classification, </w:t>
      </w:r>
      <w:r w:rsidRPr="00EE77B1">
        <w:rPr>
          <w:rFonts w:ascii="Times New Roman" w:hAnsi="Times New Roman" w:cs="Times New Roman"/>
          <w:i/>
          <w:lang w:val="en-GB"/>
        </w:rPr>
        <w:t>Computers and Operations Research</w:t>
      </w:r>
      <w:r w:rsidRPr="00EE77B1">
        <w:rPr>
          <w:rFonts w:ascii="Times New Roman" w:hAnsi="Times New Roman" w:cs="Times New Roman"/>
          <w:lang w:val="en-GB"/>
        </w:rPr>
        <w:t>, 2011, 38</w:t>
      </w:r>
      <w:r w:rsidR="00DA0907">
        <w:rPr>
          <w:rFonts w:ascii="Times New Roman" w:hAnsi="Times New Roman" w:cs="Times New Roman"/>
          <w:lang w:val="en-GB"/>
        </w:rPr>
        <w:t>(</w:t>
      </w:r>
      <w:r w:rsidR="00DA0907" w:rsidRPr="00DA0907">
        <w:rPr>
          <w:rFonts w:ascii="Times New Roman" w:hAnsi="Times New Roman" w:cs="Times New Roman"/>
          <w:b/>
          <w:lang w:val="en-GB"/>
        </w:rPr>
        <w:t>12</w:t>
      </w:r>
      <w:r w:rsidR="00DA0907">
        <w:rPr>
          <w:rFonts w:ascii="Times New Roman" w:hAnsi="Times New Roman" w:cs="Times New Roman"/>
          <w:lang w:val="en-GB"/>
        </w:rPr>
        <w:t>)</w:t>
      </w:r>
      <w:r w:rsidRPr="00EE77B1">
        <w:rPr>
          <w:rFonts w:ascii="Times New Roman" w:hAnsi="Times New Roman" w:cs="Times New Roman"/>
          <w:lang w:val="en-GB"/>
        </w:rPr>
        <w:t>, 1784-91.</w:t>
      </w:r>
    </w:p>
    <w:p w14:paraId="3EB7F39A" w14:textId="77777777" w:rsidR="00EE77B1" w:rsidRPr="00EE77B1" w:rsidRDefault="00EE77B1" w:rsidP="00EE77B1">
      <w:pPr>
        <w:ind w:left="567" w:hanging="567"/>
        <w:jc w:val="both"/>
        <w:rPr>
          <w:rFonts w:ascii="Times New Roman" w:hAnsi="Times New Roman" w:cs="Times New Roman"/>
          <w:lang w:val="en-GB"/>
        </w:rPr>
      </w:pPr>
    </w:p>
    <w:p w14:paraId="11615DEC" w14:textId="3E3D78FD" w:rsidR="002D750A" w:rsidRDefault="002D750A" w:rsidP="001131D9">
      <w:pPr>
        <w:ind w:left="709" w:hanging="709"/>
        <w:jc w:val="both"/>
        <w:rPr>
          <w:rFonts w:ascii="Times New Roman" w:hAnsi="Times New Roman" w:cs="Times New Roman"/>
        </w:rPr>
      </w:pPr>
      <w:proofErr w:type="spellStart"/>
      <w:proofErr w:type="gramStart"/>
      <w:r>
        <w:rPr>
          <w:rFonts w:ascii="Times New Roman" w:hAnsi="Times New Roman" w:cs="Times New Roman"/>
        </w:rPr>
        <w:t>Cherchye</w:t>
      </w:r>
      <w:proofErr w:type="spellEnd"/>
      <w:r>
        <w:rPr>
          <w:rFonts w:ascii="Times New Roman" w:hAnsi="Times New Roman" w:cs="Times New Roman"/>
        </w:rPr>
        <w:t xml:space="preserve">, L., Lovell, C.A.K., </w:t>
      </w:r>
      <w:proofErr w:type="spellStart"/>
      <w:r>
        <w:rPr>
          <w:rFonts w:ascii="Times New Roman" w:hAnsi="Times New Roman" w:cs="Times New Roman"/>
        </w:rPr>
        <w:t>Moesen</w:t>
      </w:r>
      <w:proofErr w:type="spellEnd"/>
      <w:r>
        <w:rPr>
          <w:rFonts w:ascii="Times New Roman" w:hAnsi="Times New Roman" w:cs="Times New Roman"/>
        </w:rPr>
        <w:t xml:space="preserve">, W. and T. van </w:t>
      </w:r>
      <w:proofErr w:type="spellStart"/>
      <w:r>
        <w:rPr>
          <w:rFonts w:ascii="Times New Roman" w:hAnsi="Times New Roman" w:cs="Times New Roman"/>
        </w:rPr>
        <w:t>Puyenbroeck</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One Market, One Number?</w:t>
      </w:r>
      <w:proofErr w:type="gramEnd"/>
      <w:r>
        <w:rPr>
          <w:rFonts w:ascii="Times New Roman" w:hAnsi="Times New Roman" w:cs="Times New Roman"/>
        </w:rPr>
        <w:t xml:space="preserve"> </w:t>
      </w:r>
      <w:proofErr w:type="gramStart"/>
      <w:r>
        <w:rPr>
          <w:rFonts w:ascii="Times New Roman" w:hAnsi="Times New Roman" w:cs="Times New Roman"/>
        </w:rPr>
        <w:t xml:space="preserve">A Composite Indicator Assessment of EU Internal Market Dynamics, </w:t>
      </w:r>
      <w:r>
        <w:rPr>
          <w:rFonts w:ascii="Times New Roman" w:hAnsi="Times New Roman" w:cs="Times New Roman"/>
          <w:i/>
        </w:rPr>
        <w:t>European Economic Review</w:t>
      </w:r>
      <w:r>
        <w:rPr>
          <w:rFonts w:ascii="Times New Roman" w:hAnsi="Times New Roman" w:cs="Times New Roman"/>
        </w:rPr>
        <w:t>, 2007, 51</w:t>
      </w:r>
      <w:r w:rsidR="00DA0907">
        <w:rPr>
          <w:rFonts w:ascii="Times New Roman" w:hAnsi="Times New Roman" w:cs="Times New Roman"/>
        </w:rPr>
        <w:t>(</w:t>
      </w:r>
      <w:r w:rsidR="00DA0907" w:rsidRPr="00DA0907">
        <w:rPr>
          <w:rFonts w:ascii="Times New Roman" w:hAnsi="Times New Roman" w:cs="Times New Roman"/>
          <w:b/>
        </w:rPr>
        <w:t>3</w:t>
      </w:r>
      <w:r w:rsidR="00DA0907">
        <w:rPr>
          <w:rFonts w:ascii="Times New Roman" w:hAnsi="Times New Roman" w:cs="Times New Roman"/>
        </w:rPr>
        <w:t>)</w:t>
      </w:r>
      <w:r>
        <w:rPr>
          <w:rFonts w:ascii="Times New Roman" w:hAnsi="Times New Roman" w:cs="Times New Roman"/>
        </w:rPr>
        <w:t>, 749-79.</w:t>
      </w:r>
      <w:proofErr w:type="gramEnd"/>
    </w:p>
    <w:p w14:paraId="41147ABD" w14:textId="77777777" w:rsidR="002D750A" w:rsidRPr="002D750A" w:rsidRDefault="002D750A" w:rsidP="001131D9">
      <w:pPr>
        <w:ind w:left="709" w:hanging="709"/>
        <w:jc w:val="both"/>
        <w:rPr>
          <w:rFonts w:ascii="Times New Roman" w:hAnsi="Times New Roman" w:cs="Times New Roman"/>
        </w:rPr>
      </w:pPr>
    </w:p>
    <w:p w14:paraId="40EE8682" w14:textId="5757457F" w:rsidR="001131D9" w:rsidRDefault="001131D9" w:rsidP="001131D9">
      <w:pPr>
        <w:ind w:left="709" w:hanging="709"/>
        <w:jc w:val="both"/>
        <w:rPr>
          <w:rFonts w:ascii="Times New Roman" w:hAnsi="Times New Roman" w:cs="Times New Roman"/>
        </w:rPr>
      </w:pPr>
      <w:proofErr w:type="spellStart"/>
      <w:r>
        <w:rPr>
          <w:rFonts w:ascii="Times New Roman" w:hAnsi="Times New Roman" w:cs="Times New Roman"/>
        </w:rPr>
        <w:t>Cherchye</w:t>
      </w:r>
      <w:proofErr w:type="spellEnd"/>
      <w:r>
        <w:rPr>
          <w:rFonts w:ascii="Times New Roman" w:hAnsi="Times New Roman" w:cs="Times New Roman"/>
        </w:rPr>
        <w:t xml:space="preserve">, L., </w:t>
      </w:r>
      <w:proofErr w:type="spellStart"/>
      <w:r>
        <w:rPr>
          <w:rFonts w:ascii="Times New Roman" w:hAnsi="Times New Roman" w:cs="Times New Roman"/>
        </w:rPr>
        <w:t>Moesen</w:t>
      </w:r>
      <w:proofErr w:type="spellEnd"/>
      <w:r>
        <w:rPr>
          <w:rFonts w:ascii="Times New Roman" w:hAnsi="Times New Roman" w:cs="Times New Roman"/>
        </w:rPr>
        <w:t xml:space="preserve">, W., Rogge, N. and T. van </w:t>
      </w:r>
      <w:proofErr w:type="spellStart"/>
      <w:r>
        <w:rPr>
          <w:rFonts w:ascii="Times New Roman" w:hAnsi="Times New Roman" w:cs="Times New Roman"/>
        </w:rPr>
        <w:t>Puyenbroeck</w:t>
      </w:r>
      <w:proofErr w:type="spellEnd"/>
      <w:r>
        <w:rPr>
          <w:rFonts w:ascii="Times New Roman" w:hAnsi="Times New Roman" w:cs="Times New Roman"/>
        </w:rPr>
        <w:t xml:space="preserve">.  </w:t>
      </w:r>
      <w:proofErr w:type="gramStart"/>
      <w:r>
        <w:rPr>
          <w:rFonts w:ascii="Times New Roman" w:hAnsi="Times New Roman" w:cs="Times New Roman"/>
        </w:rPr>
        <w:t xml:space="preserve">An Introduction to “Benefit of the Doubt” Composite Indicators, </w:t>
      </w:r>
      <w:r w:rsidRPr="001131D9">
        <w:rPr>
          <w:rFonts w:ascii="Times New Roman" w:hAnsi="Times New Roman" w:cs="Times New Roman"/>
          <w:i/>
        </w:rPr>
        <w:t>Social Indicators Research</w:t>
      </w:r>
      <w:r>
        <w:rPr>
          <w:rFonts w:ascii="Times New Roman" w:hAnsi="Times New Roman" w:cs="Times New Roman"/>
        </w:rPr>
        <w:t>, 2007, 82</w:t>
      </w:r>
      <w:r w:rsidR="00DA0907">
        <w:rPr>
          <w:rFonts w:ascii="Times New Roman" w:hAnsi="Times New Roman" w:cs="Times New Roman"/>
        </w:rPr>
        <w:t>(</w:t>
      </w:r>
      <w:r w:rsidR="00DA0907" w:rsidRPr="00DA0907">
        <w:rPr>
          <w:rFonts w:ascii="Times New Roman" w:hAnsi="Times New Roman" w:cs="Times New Roman"/>
          <w:b/>
        </w:rPr>
        <w:t>1</w:t>
      </w:r>
      <w:r w:rsidR="00DA0907">
        <w:rPr>
          <w:rFonts w:ascii="Times New Roman" w:hAnsi="Times New Roman" w:cs="Times New Roman"/>
        </w:rPr>
        <w:t>)</w:t>
      </w:r>
      <w:r>
        <w:rPr>
          <w:rFonts w:ascii="Times New Roman" w:hAnsi="Times New Roman" w:cs="Times New Roman"/>
        </w:rPr>
        <w:t>, 111-45.</w:t>
      </w:r>
      <w:proofErr w:type="gramEnd"/>
    </w:p>
    <w:p w14:paraId="19AB03E4" w14:textId="77777777" w:rsidR="001131D9" w:rsidRDefault="001131D9" w:rsidP="001131D9">
      <w:pPr>
        <w:ind w:left="709" w:hanging="709"/>
        <w:jc w:val="both"/>
        <w:rPr>
          <w:rFonts w:ascii="Times New Roman" w:hAnsi="Times New Roman" w:cs="Times New Roman"/>
        </w:rPr>
      </w:pPr>
    </w:p>
    <w:p w14:paraId="3461C120" w14:textId="4A11ECD5" w:rsidR="009577DB" w:rsidRDefault="009577DB" w:rsidP="009577DB">
      <w:pPr>
        <w:ind w:left="709" w:hanging="709"/>
        <w:jc w:val="both"/>
        <w:rPr>
          <w:rFonts w:ascii="Times New Roman" w:hAnsi="Times New Roman" w:cs="Times New Roman"/>
        </w:rPr>
      </w:pPr>
      <w:proofErr w:type="spellStart"/>
      <w:r>
        <w:rPr>
          <w:rFonts w:ascii="Times New Roman" w:hAnsi="Times New Roman" w:cs="Times New Roman"/>
        </w:rPr>
        <w:t>Cherchye</w:t>
      </w:r>
      <w:proofErr w:type="spellEnd"/>
      <w:r>
        <w:rPr>
          <w:rFonts w:ascii="Times New Roman" w:hAnsi="Times New Roman" w:cs="Times New Roman"/>
        </w:rPr>
        <w:t xml:space="preserve">, L., </w:t>
      </w:r>
      <w:proofErr w:type="spellStart"/>
      <w:r>
        <w:rPr>
          <w:rFonts w:ascii="Times New Roman" w:hAnsi="Times New Roman" w:cs="Times New Roman"/>
        </w:rPr>
        <w:t>Moesen</w:t>
      </w:r>
      <w:proofErr w:type="spellEnd"/>
      <w:r>
        <w:rPr>
          <w:rFonts w:ascii="Times New Roman" w:hAnsi="Times New Roman" w:cs="Times New Roman"/>
        </w:rPr>
        <w:t xml:space="preserve">, W., Rogge, N., van </w:t>
      </w:r>
      <w:proofErr w:type="spellStart"/>
      <w:r>
        <w:rPr>
          <w:rFonts w:ascii="Times New Roman" w:hAnsi="Times New Roman" w:cs="Times New Roman"/>
        </w:rPr>
        <w:t>Puyenbroeck</w:t>
      </w:r>
      <w:proofErr w:type="spellEnd"/>
      <w:r>
        <w:rPr>
          <w:rFonts w:ascii="Times New Roman" w:hAnsi="Times New Roman" w:cs="Times New Roman"/>
        </w:rPr>
        <w:t xml:space="preserve">, T., </w:t>
      </w:r>
      <w:proofErr w:type="spellStart"/>
      <w:r>
        <w:rPr>
          <w:rFonts w:ascii="Times New Roman" w:hAnsi="Times New Roman" w:cs="Times New Roman"/>
        </w:rPr>
        <w:t>Saisana</w:t>
      </w:r>
      <w:proofErr w:type="spellEnd"/>
      <w:r>
        <w:rPr>
          <w:rFonts w:ascii="Times New Roman" w:hAnsi="Times New Roman" w:cs="Times New Roman"/>
        </w:rPr>
        <w:t xml:space="preserve">, M., </w:t>
      </w:r>
      <w:proofErr w:type="spellStart"/>
      <w:r>
        <w:rPr>
          <w:rFonts w:ascii="Times New Roman" w:hAnsi="Times New Roman" w:cs="Times New Roman"/>
        </w:rPr>
        <w:t>Saltelli</w:t>
      </w:r>
      <w:proofErr w:type="spellEnd"/>
      <w:r>
        <w:rPr>
          <w:rFonts w:ascii="Times New Roman" w:hAnsi="Times New Roman" w:cs="Times New Roman"/>
        </w:rPr>
        <w:t xml:space="preserve">, A., </w:t>
      </w:r>
      <w:proofErr w:type="spellStart"/>
      <w:r>
        <w:rPr>
          <w:rFonts w:ascii="Times New Roman" w:hAnsi="Times New Roman" w:cs="Times New Roman"/>
        </w:rPr>
        <w:t>Liska</w:t>
      </w:r>
      <w:proofErr w:type="spellEnd"/>
      <w:r>
        <w:rPr>
          <w:rFonts w:ascii="Times New Roman" w:hAnsi="Times New Roman" w:cs="Times New Roman"/>
        </w:rPr>
        <w:t>,</w:t>
      </w:r>
      <w:r w:rsidR="00B36DBA">
        <w:rPr>
          <w:rFonts w:ascii="Times New Roman" w:hAnsi="Times New Roman" w:cs="Times New Roman"/>
        </w:rPr>
        <w:t xml:space="preserve"> R. and S. </w:t>
      </w:r>
      <w:proofErr w:type="spellStart"/>
      <w:r w:rsidR="00B36DBA">
        <w:rPr>
          <w:rFonts w:ascii="Times New Roman" w:hAnsi="Times New Roman" w:cs="Times New Roman"/>
        </w:rPr>
        <w:t>Tarantola</w:t>
      </w:r>
      <w:proofErr w:type="spellEnd"/>
      <w:r w:rsidR="00B36DBA">
        <w:rPr>
          <w:rFonts w:ascii="Times New Roman" w:hAnsi="Times New Roman" w:cs="Times New Roman"/>
        </w:rPr>
        <w:t>. Creating C</w:t>
      </w:r>
      <w:r>
        <w:rPr>
          <w:rFonts w:ascii="Times New Roman" w:hAnsi="Times New Roman" w:cs="Times New Roman"/>
        </w:rPr>
        <w:t xml:space="preserve">omposite Indicators with DEA and Robustness Analysis: The Case of the Technology Achievement Index, </w:t>
      </w:r>
      <w:r>
        <w:rPr>
          <w:rFonts w:ascii="Times New Roman" w:hAnsi="Times New Roman" w:cs="Times New Roman"/>
          <w:i/>
        </w:rPr>
        <w:t>Journal of Operational Research Society</w:t>
      </w:r>
      <w:r>
        <w:rPr>
          <w:rFonts w:ascii="Times New Roman" w:hAnsi="Times New Roman" w:cs="Times New Roman"/>
        </w:rPr>
        <w:t>, 2008, 59</w:t>
      </w:r>
      <w:r w:rsidR="00DA0907">
        <w:rPr>
          <w:rFonts w:ascii="Times New Roman" w:hAnsi="Times New Roman" w:cs="Times New Roman"/>
        </w:rPr>
        <w:t>(</w:t>
      </w:r>
      <w:r w:rsidR="00DA0907" w:rsidRPr="00DA0907">
        <w:rPr>
          <w:rFonts w:ascii="Times New Roman" w:hAnsi="Times New Roman" w:cs="Times New Roman"/>
          <w:b/>
        </w:rPr>
        <w:t>2</w:t>
      </w:r>
      <w:r w:rsidR="00DA0907">
        <w:rPr>
          <w:rFonts w:ascii="Times New Roman" w:hAnsi="Times New Roman" w:cs="Times New Roman"/>
        </w:rPr>
        <w:t>)</w:t>
      </w:r>
      <w:r>
        <w:rPr>
          <w:rFonts w:ascii="Times New Roman" w:hAnsi="Times New Roman" w:cs="Times New Roman"/>
        </w:rPr>
        <w:t>, 239-53.</w:t>
      </w:r>
    </w:p>
    <w:p w14:paraId="22E7907C" w14:textId="21B290C2" w:rsidR="009577DB" w:rsidRDefault="009577DB" w:rsidP="00BA105A">
      <w:pPr>
        <w:ind w:left="567" w:hanging="567"/>
        <w:jc w:val="both"/>
        <w:rPr>
          <w:rFonts w:ascii="Times New Roman" w:hAnsi="Times New Roman" w:cs="Times New Roman"/>
        </w:rPr>
      </w:pPr>
    </w:p>
    <w:p w14:paraId="7933D2B4" w14:textId="2CB77D19" w:rsidR="00BA105A" w:rsidRDefault="00BA105A" w:rsidP="00BA105A">
      <w:pPr>
        <w:ind w:left="567" w:hanging="567"/>
        <w:jc w:val="both"/>
        <w:rPr>
          <w:rFonts w:ascii="Times New Roman" w:hAnsi="Times New Roman" w:cs="Times New Roman"/>
        </w:rPr>
      </w:pPr>
      <w:r>
        <w:rPr>
          <w:rFonts w:ascii="Times New Roman" w:hAnsi="Times New Roman" w:cs="Times New Roman"/>
        </w:rPr>
        <w:t xml:space="preserve">Cook, W.D. and M. Kress. </w:t>
      </w:r>
      <w:proofErr w:type="gramStart"/>
      <w:r>
        <w:rPr>
          <w:rFonts w:ascii="Times New Roman" w:hAnsi="Times New Roman" w:cs="Times New Roman"/>
        </w:rPr>
        <w:t xml:space="preserve">A Data Envelopment Model for Aggregating Preference Rankings, </w:t>
      </w:r>
      <w:r>
        <w:rPr>
          <w:rFonts w:ascii="Times New Roman" w:hAnsi="Times New Roman" w:cs="Times New Roman"/>
          <w:i/>
        </w:rPr>
        <w:t>Management Science</w:t>
      </w:r>
      <w:r>
        <w:rPr>
          <w:rFonts w:ascii="Times New Roman" w:hAnsi="Times New Roman" w:cs="Times New Roman"/>
        </w:rPr>
        <w:t>, 1990, 36</w:t>
      </w:r>
      <w:r w:rsidR="00DA0907">
        <w:rPr>
          <w:rFonts w:ascii="Times New Roman" w:hAnsi="Times New Roman" w:cs="Times New Roman"/>
        </w:rPr>
        <w:t>(</w:t>
      </w:r>
      <w:r w:rsidR="00DA0907" w:rsidRPr="00DA0907">
        <w:rPr>
          <w:rFonts w:ascii="Times New Roman" w:hAnsi="Times New Roman" w:cs="Times New Roman"/>
          <w:b/>
        </w:rPr>
        <w:t>11</w:t>
      </w:r>
      <w:r w:rsidR="00DA0907">
        <w:rPr>
          <w:rFonts w:ascii="Times New Roman" w:hAnsi="Times New Roman" w:cs="Times New Roman"/>
        </w:rPr>
        <w:t>)</w:t>
      </w:r>
      <w:r>
        <w:rPr>
          <w:rFonts w:ascii="Times New Roman" w:hAnsi="Times New Roman" w:cs="Times New Roman"/>
        </w:rPr>
        <w:t>, 1302-10.</w:t>
      </w:r>
      <w:proofErr w:type="gramEnd"/>
    </w:p>
    <w:p w14:paraId="54273D99" w14:textId="77777777" w:rsidR="00BA105A" w:rsidRPr="00C752F2" w:rsidRDefault="00BA105A" w:rsidP="00BA105A">
      <w:pPr>
        <w:ind w:left="567" w:hanging="567"/>
        <w:jc w:val="both"/>
        <w:rPr>
          <w:rFonts w:ascii="Times New Roman" w:hAnsi="Times New Roman" w:cs="Times New Roman"/>
        </w:rPr>
      </w:pPr>
    </w:p>
    <w:p w14:paraId="50C1136D" w14:textId="7E79468A" w:rsidR="001131D9" w:rsidRDefault="001131D9" w:rsidP="001131D9">
      <w:pPr>
        <w:ind w:left="709" w:hanging="709"/>
        <w:jc w:val="both"/>
        <w:rPr>
          <w:rFonts w:ascii="Times New Roman" w:hAnsi="Times New Roman" w:cs="Times New Roman"/>
        </w:rPr>
      </w:pPr>
      <w:proofErr w:type="spellStart"/>
      <w:r>
        <w:rPr>
          <w:rFonts w:ascii="Times New Roman" w:hAnsi="Times New Roman" w:cs="Times New Roman"/>
        </w:rPr>
        <w:t>Despotis</w:t>
      </w:r>
      <w:proofErr w:type="spellEnd"/>
      <w:r>
        <w:rPr>
          <w:rFonts w:ascii="Times New Roman" w:hAnsi="Times New Roman" w:cs="Times New Roman"/>
        </w:rPr>
        <w:t xml:space="preserve">, D.K. A Reassessment of the Human Development Index via Data Envelopment Analysis, </w:t>
      </w:r>
      <w:r>
        <w:rPr>
          <w:rFonts w:ascii="Times New Roman" w:hAnsi="Times New Roman" w:cs="Times New Roman"/>
          <w:i/>
        </w:rPr>
        <w:t>Journal of Operational Research Society</w:t>
      </w:r>
      <w:r>
        <w:rPr>
          <w:rFonts w:ascii="Times New Roman" w:hAnsi="Times New Roman" w:cs="Times New Roman"/>
        </w:rPr>
        <w:t>, 2005, 56</w:t>
      </w:r>
      <w:r w:rsidR="00DA0907">
        <w:rPr>
          <w:rFonts w:ascii="Times New Roman" w:hAnsi="Times New Roman" w:cs="Times New Roman"/>
        </w:rPr>
        <w:t>(</w:t>
      </w:r>
      <w:r w:rsidR="00DA0907" w:rsidRPr="00DA0907">
        <w:rPr>
          <w:rFonts w:ascii="Times New Roman" w:hAnsi="Times New Roman" w:cs="Times New Roman"/>
          <w:b/>
        </w:rPr>
        <w:t>8</w:t>
      </w:r>
      <w:r w:rsidR="00DA0907">
        <w:rPr>
          <w:rFonts w:ascii="Times New Roman" w:hAnsi="Times New Roman" w:cs="Times New Roman"/>
        </w:rPr>
        <w:t>)</w:t>
      </w:r>
      <w:r>
        <w:rPr>
          <w:rFonts w:ascii="Times New Roman" w:hAnsi="Times New Roman" w:cs="Times New Roman"/>
        </w:rPr>
        <w:t>, 969-80.</w:t>
      </w:r>
    </w:p>
    <w:p w14:paraId="1A130F05" w14:textId="77777777" w:rsidR="001131D9" w:rsidRDefault="001131D9" w:rsidP="001131D9">
      <w:pPr>
        <w:ind w:left="709" w:hanging="709"/>
        <w:jc w:val="both"/>
        <w:rPr>
          <w:rFonts w:ascii="Times New Roman" w:hAnsi="Times New Roman" w:cs="Times New Roman"/>
        </w:rPr>
      </w:pPr>
    </w:p>
    <w:p w14:paraId="3140F54E" w14:textId="1957BD1D" w:rsidR="00BC7BE7" w:rsidRPr="00BC7BE7" w:rsidRDefault="00BC7BE7" w:rsidP="001131D9">
      <w:pPr>
        <w:ind w:left="567" w:hanging="567"/>
        <w:jc w:val="both"/>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Witte, K. and N. Rogge. Accounting for Exogenous Influences in Performance Evaluations of Teachers, </w:t>
      </w:r>
      <w:r>
        <w:rPr>
          <w:rFonts w:ascii="Times New Roman" w:hAnsi="Times New Roman" w:cs="Times New Roman"/>
          <w:i/>
        </w:rPr>
        <w:t>Economics of Education Review</w:t>
      </w:r>
      <w:r>
        <w:rPr>
          <w:rFonts w:ascii="Times New Roman" w:hAnsi="Times New Roman" w:cs="Times New Roman"/>
        </w:rPr>
        <w:t>, 2011, 30</w:t>
      </w:r>
      <w:r w:rsidR="00DA0907">
        <w:rPr>
          <w:rFonts w:ascii="Times New Roman" w:hAnsi="Times New Roman" w:cs="Times New Roman"/>
        </w:rPr>
        <w:t>(</w:t>
      </w:r>
      <w:r w:rsidR="00DA0907" w:rsidRPr="00DA0907">
        <w:rPr>
          <w:rFonts w:ascii="Times New Roman" w:hAnsi="Times New Roman" w:cs="Times New Roman"/>
          <w:b/>
        </w:rPr>
        <w:t>4</w:t>
      </w:r>
      <w:r w:rsidR="00DA0907">
        <w:rPr>
          <w:rFonts w:ascii="Times New Roman" w:hAnsi="Times New Roman" w:cs="Times New Roman"/>
        </w:rPr>
        <w:t>)</w:t>
      </w:r>
      <w:r>
        <w:rPr>
          <w:rFonts w:ascii="Times New Roman" w:hAnsi="Times New Roman" w:cs="Times New Roman"/>
        </w:rPr>
        <w:t>, 641-53.</w:t>
      </w:r>
    </w:p>
    <w:p w14:paraId="0036333C" w14:textId="77777777" w:rsidR="00BC7BE7" w:rsidRDefault="00BC7BE7" w:rsidP="001131D9">
      <w:pPr>
        <w:ind w:left="567" w:hanging="567"/>
        <w:jc w:val="both"/>
        <w:rPr>
          <w:rFonts w:ascii="Times New Roman" w:hAnsi="Times New Roman" w:cs="Times New Roman"/>
        </w:rPr>
      </w:pPr>
    </w:p>
    <w:p w14:paraId="39E127B7" w14:textId="735EDE37" w:rsidR="001131D9" w:rsidRDefault="001131D9" w:rsidP="001131D9">
      <w:pPr>
        <w:ind w:left="567" w:hanging="567"/>
        <w:jc w:val="both"/>
        <w:rPr>
          <w:rFonts w:ascii="Times New Roman" w:hAnsi="Times New Roman" w:cs="Times New Roman"/>
        </w:rPr>
      </w:pPr>
      <w:proofErr w:type="spellStart"/>
      <w:r w:rsidRPr="000D0C3F">
        <w:rPr>
          <w:rFonts w:ascii="Times New Roman" w:hAnsi="Times New Roman" w:cs="Times New Roman"/>
        </w:rPr>
        <w:t>Färe</w:t>
      </w:r>
      <w:proofErr w:type="spellEnd"/>
      <w:r>
        <w:rPr>
          <w:rFonts w:ascii="Times New Roman" w:hAnsi="Times New Roman" w:cs="Times New Roman"/>
        </w:rPr>
        <w:t xml:space="preserve">, R. and S. </w:t>
      </w:r>
      <w:proofErr w:type="spellStart"/>
      <w:r>
        <w:rPr>
          <w:rFonts w:ascii="Times New Roman" w:hAnsi="Times New Roman" w:cs="Times New Roman"/>
        </w:rPr>
        <w:t>Grosskopf</w:t>
      </w:r>
      <w:proofErr w:type="spellEnd"/>
      <w:r>
        <w:rPr>
          <w:rFonts w:ascii="Times New Roman" w:hAnsi="Times New Roman" w:cs="Times New Roman"/>
        </w:rPr>
        <w:t xml:space="preserve">. </w:t>
      </w:r>
      <w:r w:rsidRPr="00EF769D">
        <w:rPr>
          <w:rFonts w:ascii="Times New Roman" w:hAnsi="Times New Roman" w:cs="Times New Roman"/>
          <w:i/>
        </w:rPr>
        <w:t>New Directions: Efficiency and Productivity</w:t>
      </w:r>
      <w:r>
        <w:rPr>
          <w:rFonts w:ascii="Times New Roman" w:hAnsi="Times New Roman" w:cs="Times New Roman"/>
        </w:rPr>
        <w:t>, Kluwer Academic Publishers, 2004</w:t>
      </w:r>
      <w:r w:rsidR="00DA0907">
        <w:rPr>
          <w:rFonts w:ascii="Times New Roman" w:hAnsi="Times New Roman" w:cs="Times New Roman"/>
        </w:rPr>
        <w:t>, Massachusetts</w:t>
      </w:r>
      <w:r>
        <w:rPr>
          <w:rFonts w:ascii="Times New Roman" w:hAnsi="Times New Roman" w:cs="Times New Roman"/>
        </w:rPr>
        <w:t>.</w:t>
      </w:r>
    </w:p>
    <w:p w14:paraId="0DBD669C" w14:textId="77777777" w:rsidR="001131D9" w:rsidRDefault="001131D9" w:rsidP="001131D9">
      <w:pPr>
        <w:ind w:left="567" w:hanging="567"/>
        <w:jc w:val="both"/>
        <w:rPr>
          <w:rFonts w:ascii="Times New Roman" w:hAnsi="Times New Roman" w:cs="Times New Roman"/>
        </w:rPr>
      </w:pPr>
    </w:p>
    <w:p w14:paraId="36161AF5" w14:textId="197FE83B" w:rsidR="001131D9" w:rsidRDefault="001131D9" w:rsidP="001131D9">
      <w:pPr>
        <w:ind w:left="567" w:hanging="567"/>
        <w:jc w:val="both"/>
        <w:rPr>
          <w:rFonts w:ascii="Times New Roman" w:hAnsi="Times New Roman" w:cs="Times New Roman"/>
        </w:rPr>
      </w:pPr>
      <w:proofErr w:type="spellStart"/>
      <w:r w:rsidRPr="000D0C3F">
        <w:rPr>
          <w:rFonts w:ascii="Times New Roman" w:hAnsi="Times New Roman" w:cs="Times New Roman"/>
        </w:rPr>
        <w:t>Färe</w:t>
      </w:r>
      <w:proofErr w:type="spellEnd"/>
      <w:r>
        <w:rPr>
          <w:rFonts w:ascii="Times New Roman" w:hAnsi="Times New Roman" w:cs="Times New Roman"/>
        </w:rPr>
        <w:t xml:space="preserve">, R. and V. </w:t>
      </w:r>
      <w:proofErr w:type="spellStart"/>
      <w:r>
        <w:rPr>
          <w:rFonts w:ascii="Times New Roman" w:hAnsi="Times New Roman" w:cs="Times New Roman"/>
        </w:rPr>
        <w:t>Zelenyuk</w:t>
      </w:r>
      <w:proofErr w:type="spellEnd"/>
      <w:r>
        <w:rPr>
          <w:rFonts w:ascii="Times New Roman" w:hAnsi="Times New Roman" w:cs="Times New Roman"/>
        </w:rPr>
        <w:t xml:space="preserve">. </w:t>
      </w:r>
      <w:proofErr w:type="gramStart"/>
      <w:r>
        <w:rPr>
          <w:rFonts w:ascii="Times New Roman" w:hAnsi="Times New Roman" w:cs="Times New Roman"/>
        </w:rPr>
        <w:t xml:space="preserve">On Aggregate Farrell Efficiencies, </w:t>
      </w:r>
      <w:r>
        <w:rPr>
          <w:rFonts w:ascii="Times New Roman" w:hAnsi="Times New Roman" w:cs="Times New Roman"/>
          <w:i/>
        </w:rPr>
        <w:t>European Journal of Operational Research</w:t>
      </w:r>
      <w:r>
        <w:rPr>
          <w:rFonts w:ascii="Times New Roman" w:hAnsi="Times New Roman" w:cs="Times New Roman"/>
        </w:rPr>
        <w:t>, 2003, 146</w:t>
      </w:r>
      <w:r w:rsidR="00DA0907">
        <w:rPr>
          <w:rFonts w:ascii="Times New Roman" w:hAnsi="Times New Roman" w:cs="Times New Roman"/>
        </w:rPr>
        <w:t>(</w:t>
      </w:r>
      <w:r w:rsidR="00DA0907" w:rsidRPr="00DA0907">
        <w:rPr>
          <w:rFonts w:ascii="Times New Roman" w:hAnsi="Times New Roman" w:cs="Times New Roman"/>
          <w:b/>
        </w:rPr>
        <w:t>3</w:t>
      </w:r>
      <w:r w:rsidR="00DA0907">
        <w:rPr>
          <w:rFonts w:ascii="Times New Roman" w:hAnsi="Times New Roman" w:cs="Times New Roman"/>
        </w:rPr>
        <w:t>)</w:t>
      </w:r>
      <w:r>
        <w:rPr>
          <w:rFonts w:ascii="Times New Roman" w:hAnsi="Times New Roman" w:cs="Times New Roman"/>
        </w:rPr>
        <w:t>, 615-20.</w:t>
      </w:r>
      <w:proofErr w:type="gramEnd"/>
    </w:p>
    <w:p w14:paraId="6553AA3F" w14:textId="77777777" w:rsidR="00FC13FF" w:rsidRDefault="00FC13FF" w:rsidP="00FC13FF">
      <w:pPr>
        <w:jc w:val="both"/>
        <w:rPr>
          <w:rFonts w:ascii="Times New Roman" w:hAnsi="Times New Roman" w:cs="Times New Roman"/>
        </w:rPr>
      </w:pPr>
    </w:p>
    <w:p w14:paraId="08102B54" w14:textId="5AFCE9D6" w:rsidR="00A15E01" w:rsidRDefault="001A4FD7" w:rsidP="00EE77B1">
      <w:pPr>
        <w:ind w:left="567" w:hanging="567"/>
        <w:jc w:val="both"/>
        <w:rPr>
          <w:rFonts w:ascii="Times New Roman" w:hAnsi="Times New Roman" w:cs="Times New Roman"/>
          <w:lang w:val="en-GB"/>
        </w:rPr>
      </w:pPr>
      <w:proofErr w:type="spellStart"/>
      <w:r>
        <w:rPr>
          <w:rFonts w:ascii="Times New Roman" w:hAnsi="Times New Roman" w:cs="Times New Roman"/>
          <w:lang w:val="en-GB"/>
        </w:rPr>
        <w:t>Gaaloul</w:t>
      </w:r>
      <w:proofErr w:type="spellEnd"/>
      <w:r>
        <w:rPr>
          <w:rFonts w:ascii="Times New Roman" w:hAnsi="Times New Roman" w:cs="Times New Roman"/>
          <w:lang w:val="en-GB"/>
        </w:rPr>
        <w:t xml:space="preserve">, H. and S. </w:t>
      </w:r>
      <w:proofErr w:type="spellStart"/>
      <w:r>
        <w:rPr>
          <w:rFonts w:ascii="Times New Roman" w:hAnsi="Times New Roman" w:cs="Times New Roman"/>
          <w:lang w:val="en-GB"/>
        </w:rPr>
        <w:t>Khalfallah</w:t>
      </w:r>
      <w:proofErr w:type="spellEnd"/>
      <w:r>
        <w:rPr>
          <w:rFonts w:ascii="Times New Roman" w:hAnsi="Times New Roman" w:cs="Times New Roman"/>
          <w:lang w:val="en-GB"/>
        </w:rPr>
        <w:t xml:space="preserve">. Application of the “Benefit-of-the-Doubt” Approach for the </w:t>
      </w:r>
      <w:proofErr w:type="spellStart"/>
      <w:r>
        <w:rPr>
          <w:rFonts w:ascii="Times New Roman" w:hAnsi="Times New Roman" w:cs="Times New Roman"/>
          <w:lang w:val="en-GB"/>
        </w:rPr>
        <w:t>Construciton</w:t>
      </w:r>
      <w:proofErr w:type="spellEnd"/>
      <w:r>
        <w:rPr>
          <w:rFonts w:ascii="Times New Roman" w:hAnsi="Times New Roman" w:cs="Times New Roman"/>
          <w:lang w:val="en-GB"/>
        </w:rPr>
        <w:t xml:space="preserve"> of a Digital Access Indicator: A Revaluation of the </w:t>
      </w:r>
      <w:r w:rsidR="00A15E01">
        <w:rPr>
          <w:rFonts w:ascii="Times New Roman" w:hAnsi="Times New Roman" w:cs="Times New Roman"/>
          <w:lang w:val="en-GB"/>
        </w:rPr>
        <w:t xml:space="preserve">“Digital Access Index”, </w:t>
      </w:r>
      <w:r w:rsidR="00A15E01">
        <w:rPr>
          <w:rFonts w:ascii="Times New Roman" w:hAnsi="Times New Roman" w:cs="Times New Roman"/>
          <w:i/>
          <w:lang w:val="en-GB"/>
        </w:rPr>
        <w:t>Social Indicators Research</w:t>
      </w:r>
      <w:r w:rsidR="00A15E01">
        <w:rPr>
          <w:rFonts w:ascii="Times New Roman" w:hAnsi="Times New Roman" w:cs="Times New Roman"/>
          <w:lang w:val="en-GB"/>
        </w:rPr>
        <w:t>, 2014, 118</w:t>
      </w:r>
      <w:r w:rsidR="00DA0907">
        <w:rPr>
          <w:rFonts w:ascii="Times New Roman" w:hAnsi="Times New Roman" w:cs="Times New Roman"/>
          <w:lang w:val="en-GB"/>
        </w:rPr>
        <w:t>(</w:t>
      </w:r>
      <w:r w:rsidR="00DA0907" w:rsidRPr="00DA0907">
        <w:rPr>
          <w:rFonts w:ascii="Times New Roman" w:hAnsi="Times New Roman" w:cs="Times New Roman"/>
          <w:b/>
          <w:lang w:val="en-GB"/>
        </w:rPr>
        <w:t>1</w:t>
      </w:r>
      <w:r w:rsidR="00DA0907">
        <w:rPr>
          <w:rFonts w:ascii="Times New Roman" w:hAnsi="Times New Roman" w:cs="Times New Roman"/>
          <w:lang w:val="en-GB"/>
        </w:rPr>
        <w:t>)</w:t>
      </w:r>
      <w:r w:rsidR="00A15E01">
        <w:rPr>
          <w:rFonts w:ascii="Times New Roman" w:hAnsi="Times New Roman" w:cs="Times New Roman"/>
          <w:lang w:val="en-GB"/>
        </w:rPr>
        <w:t>, 45-56.</w:t>
      </w:r>
    </w:p>
    <w:p w14:paraId="304F044D" w14:textId="6F5AF7D3" w:rsidR="001A4FD7" w:rsidRDefault="00A15E01" w:rsidP="00EE77B1">
      <w:pPr>
        <w:ind w:left="567" w:hanging="567"/>
        <w:jc w:val="both"/>
        <w:rPr>
          <w:rFonts w:ascii="Times New Roman" w:hAnsi="Times New Roman" w:cs="Times New Roman"/>
          <w:lang w:val="en-GB"/>
        </w:rPr>
      </w:pPr>
      <w:r>
        <w:rPr>
          <w:rFonts w:ascii="Times New Roman" w:hAnsi="Times New Roman" w:cs="Times New Roman"/>
          <w:i/>
          <w:lang w:val="en-GB"/>
        </w:rPr>
        <w:t xml:space="preserve"> </w:t>
      </w:r>
      <w:r w:rsidR="001A4FD7">
        <w:rPr>
          <w:rFonts w:ascii="Times New Roman" w:hAnsi="Times New Roman" w:cs="Times New Roman"/>
          <w:lang w:val="en-GB"/>
        </w:rPr>
        <w:t xml:space="preserve"> </w:t>
      </w:r>
    </w:p>
    <w:p w14:paraId="1402DC28" w14:textId="33A39EBE" w:rsidR="00EE77B1" w:rsidRPr="00EE77B1" w:rsidRDefault="00EE77B1" w:rsidP="00EE77B1">
      <w:pPr>
        <w:ind w:left="567" w:hanging="567"/>
        <w:jc w:val="both"/>
        <w:rPr>
          <w:rFonts w:ascii="Times New Roman" w:hAnsi="Times New Roman" w:cs="Times New Roman"/>
          <w:lang w:val="en-GB"/>
        </w:rPr>
      </w:pPr>
      <w:proofErr w:type="spellStart"/>
      <w:proofErr w:type="gramStart"/>
      <w:r w:rsidRPr="00EE77B1">
        <w:rPr>
          <w:rFonts w:ascii="Times New Roman" w:hAnsi="Times New Roman" w:cs="Times New Roman"/>
          <w:lang w:val="en-GB"/>
        </w:rPr>
        <w:t>Hadi-Venchech</w:t>
      </w:r>
      <w:proofErr w:type="spellEnd"/>
      <w:r w:rsidRPr="00EE77B1">
        <w:rPr>
          <w:rFonts w:ascii="Times New Roman" w:hAnsi="Times New Roman" w:cs="Times New Roman"/>
          <w:lang w:val="en-GB"/>
        </w:rPr>
        <w:t>, A.</w:t>
      </w:r>
      <w:proofErr w:type="gramEnd"/>
      <w:r w:rsidRPr="00EE77B1">
        <w:rPr>
          <w:rFonts w:ascii="Times New Roman" w:hAnsi="Times New Roman" w:cs="Times New Roman"/>
          <w:lang w:val="en-GB"/>
        </w:rPr>
        <w:t xml:space="preserve"> </w:t>
      </w:r>
      <w:proofErr w:type="gramStart"/>
      <w:r w:rsidRPr="00EE77B1">
        <w:rPr>
          <w:rFonts w:ascii="Times New Roman" w:hAnsi="Times New Roman" w:cs="Times New Roman"/>
          <w:lang w:val="en-GB"/>
        </w:rPr>
        <w:t xml:space="preserve">An Improvement to Multiple Criteria ABC Inventory Classification, </w:t>
      </w:r>
      <w:r w:rsidRPr="00EE77B1">
        <w:rPr>
          <w:rFonts w:ascii="Times New Roman" w:hAnsi="Times New Roman" w:cs="Times New Roman"/>
          <w:i/>
          <w:lang w:val="en-GB"/>
        </w:rPr>
        <w:t>European Journal of Operational Research</w:t>
      </w:r>
      <w:r w:rsidRPr="00EE77B1">
        <w:rPr>
          <w:rFonts w:ascii="Times New Roman" w:hAnsi="Times New Roman" w:cs="Times New Roman"/>
          <w:lang w:val="en-GB"/>
        </w:rPr>
        <w:t>, 2010, 201</w:t>
      </w:r>
      <w:r w:rsidR="00DA0907">
        <w:rPr>
          <w:rFonts w:ascii="Times New Roman" w:hAnsi="Times New Roman" w:cs="Times New Roman"/>
          <w:lang w:val="en-GB"/>
        </w:rPr>
        <w:t>(</w:t>
      </w:r>
      <w:r w:rsidR="00DA0907" w:rsidRPr="00DA0907">
        <w:rPr>
          <w:rFonts w:ascii="Times New Roman" w:hAnsi="Times New Roman" w:cs="Times New Roman"/>
          <w:b/>
          <w:lang w:val="en-GB"/>
        </w:rPr>
        <w:t>3</w:t>
      </w:r>
      <w:r w:rsidR="00DA0907">
        <w:rPr>
          <w:rFonts w:ascii="Times New Roman" w:hAnsi="Times New Roman" w:cs="Times New Roman"/>
          <w:lang w:val="en-GB"/>
        </w:rPr>
        <w:t>)</w:t>
      </w:r>
      <w:r w:rsidRPr="00EE77B1">
        <w:rPr>
          <w:rFonts w:ascii="Times New Roman" w:hAnsi="Times New Roman" w:cs="Times New Roman"/>
          <w:lang w:val="en-GB"/>
        </w:rPr>
        <w:t>, 962-65.</w:t>
      </w:r>
      <w:proofErr w:type="gramEnd"/>
    </w:p>
    <w:p w14:paraId="4CC4995C" w14:textId="77777777" w:rsidR="00EE77B1" w:rsidRPr="00B908CD" w:rsidRDefault="00EE77B1" w:rsidP="00EE77B1">
      <w:pPr>
        <w:ind w:left="567" w:hanging="567"/>
        <w:jc w:val="both"/>
        <w:rPr>
          <w:lang w:val="en-GB"/>
        </w:rPr>
      </w:pPr>
    </w:p>
    <w:p w14:paraId="55B726E0" w14:textId="0C1B4D9B" w:rsidR="00FC13FF" w:rsidRDefault="001A4FD7" w:rsidP="00FC13FF">
      <w:pPr>
        <w:ind w:left="567" w:hanging="567"/>
        <w:jc w:val="both"/>
        <w:rPr>
          <w:rFonts w:ascii="Times New Roman" w:hAnsi="Times New Roman" w:cs="Times New Roman"/>
        </w:rPr>
      </w:pPr>
      <w:r>
        <w:rPr>
          <w:rFonts w:ascii="Times New Roman" w:hAnsi="Times New Roman" w:cs="Times New Roman"/>
        </w:rPr>
        <w:t>Koopmans, T.C.</w:t>
      </w:r>
      <w:r w:rsidR="00FC13FF">
        <w:rPr>
          <w:rFonts w:ascii="Times New Roman" w:hAnsi="Times New Roman" w:cs="Times New Roman"/>
        </w:rPr>
        <w:t xml:space="preserve"> </w:t>
      </w:r>
      <w:r w:rsidR="00FC13FF" w:rsidRPr="00B36DBA">
        <w:rPr>
          <w:rFonts w:ascii="Times New Roman" w:hAnsi="Times New Roman" w:cs="Times New Roman"/>
          <w:i/>
        </w:rPr>
        <w:t>Three Essays on the State of Economic Science</w:t>
      </w:r>
      <w:r w:rsidR="00605328">
        <w:rPr>
          <w:rFonts w:ascii="Times New Roman" w:hAnsi="Times New Roman" w:cs="Times New Roman"/>
        </w:rPr>
        <w:t>.</w:t>
      </w:r>
      <w:r>
        <w:rPr>
          <w:rFonts w:ascii="Times New Roman" w:hAnsi="Times New Roman" w:cs="Times New Roman"/>
        </w:rPr>
        <w:t xml:space="preserve"> </w:t>
      </w:r>
      <w:r w:rsidR="00FC13FF">
        <w:rPr>
          <w:rFonts w:ascii="Times New Roman" w:hAnsi="Times New Roman" w:cs="Times New Roman"/>
        </w:rPr>
        <w:t>McGraw-Hill, New York</w:t>
      </w:r>
      <w:r w:rsidR="00605328">
        <w:rPr>
          <w:rFonts w:ascii="Times New Roman" w:hAnsi="Times New Roman" w:cs="Times New Roman"/>
        </w:rPr>
        <w:t>, 1957</w:t>
      </w:r>
      <w:r w:rsidR="00FC13FF">
        <w:rPr>
          <w:rFonts w:ascii="Times New Roman" w:hAnsi="Times New Roman" w:cs="Times New Roman"/>
        </w:rPr>
        <w:t>.</w:t>
      </w:r>
    </w:p>
    <w:p w14:paraId="6E5B401B" w14:textId="77777777" w:rsidR="00FC13FF" w:rsidRPr="000A3B5A" w:rsidRDefault="00FC13FF" w:rsidP="00FC13FF">
      <w:pPr>
        <w:ind w:left="567" w:hanging="567"/>
        <w:jc w:val="both"/>
        <w:rPr>
          <w:rFonts w:ascii="Times New Roman" w:hAnsi="Times New Roman" w:cs="Times New Roman"/>
        </w:rPr>
      </w:pPr>
    </w:p>
    <w:p w14:paraId="1B09992C" w14:textId="270DBD5C" w:rsidR="00A15E01" w:rsidRPr="00A15E01" w:rsidRDefault="00A15E01" w:rsidP="00FA6CE6">
      <w:pPr>
        <w:ind w:left="567" w:hanging="567"/>
        <w:jc w:val="both"/>
        <w:rPr>
          <w:rStyle w:val="Hyperlink"/>
          <w:rFonts w:ascii="Times New Roman" w:hAnsi="Times New Roman" w:cs="Times New Roman"/>
          <w:u w:val="none"/>
          <w:lang w:val="en-GB"/>
        </w:rPr>
      </w:pPr>
      <w:r w:rsidRPr="00A15E01">
        <w:rPr>
          <w:rFonts w:ascii="Times New Roman" w:hAnsi="Times New Roman" w:cs="Times New Roman"/>
          <w:lang w:val="en-GB"/>
        </w:rPr>
        <w:t xml:space="preserve">Lauer, J. A., C. A. K. Lovell, C. J. L. Murray and D. B. Evans. World Health System Performance Revisited: The Impact of Varying the Relative Importance of Health System Goals, </w:t>
      </w:r>
      <w:r w:rsidRPr="00A15E01">
        <w:rPr>
          <w:rFonts w:ascii="Times New Roman" w:hAnsi="Times New Roman" w:cs="Times New Roman"/>
          <w:i/>
          <w:lang w:val="en-GB"/>
        </w:rPr>
        <w:t>BMC Health Services Research,</w:t>
      </w:r>
      <w:r w:rsidRPr="00A15E01">
        <w:rPr>
          <w:rFonts w:ascii="Times New Roman" w:hAnsi="Times New Roman" w:cs="Times New Roman"/>
          <w:lang w:val="en-GB"/>
        </w:rPr>
        <w:t xml:space="preserve"> 2004, 4</w:t>
      </w:r>
      <w:r w:rsidR="00DA0907">
        <w:rPr>
          <w:rFonts w:ascii="Times New Roman" w:hAnsi="Times New Roman" w:cs="Times New Roman"/>
          <w:lang w:val="en-GB"/>
        </w:rPr>
        <w:t>(</w:t>
      </w:r>
      <w:r w:rsidR="00DA0907" w:rsidRPr="00DA0907">
        <w:rPr>
          <w:rFonts w:ascii="Times New Roman" w:hAnsi="Times New Roman" w:cs="Times New Roman"/>
          <w:b/>
          <w:lang w:val="en-GB"/>
        </w:rPr>
        <w:t>1</w:t>
      </w:r>
      <w:r w:rsidR="00DA0907">
        <w:rPr>
          <w:rFonts w:ascii="Times New Roman" w:hAnsi="Times New Roman" w:cs="Times New Roman"/>
          <w:lang w:val="en-GB"/>
        </w:rPr>
        <w:t>)</w:t>
      </w:r>
      <w:r w:rsidRPr="00A15E01">
        <w:rPr>
          <w:rFonts w:ascii="Times New Roman" w:hAnsi="Times New Roman" w:cs="Times New Roman"/>
          <w:lang w:val="en-GB"/>
        </w:rPr>
        <w:t xml:space="preserve">. </w:t>
      </w:r>
      <w:hyperlink r:id="rId14" w:history="1">
        <w:r w:rsidRPr="00A15E01">
          <w:rPr>
            <w:rStyle w:val="Hyperlink"/>
            <w:rFonts w:ascii="Times New Roman" w:hAnsi="Times New Roman" w:cs="Times New Roman"/>
            <w:lang w:val="en-GB"/>
          </w:rPr>
          <w:t>http://www.biomedcentral.com/1472-6963-4-19</w:t>
        </w:r>
      </w:hyperlink>
    </w:p>
    <w:p w14:paraId="4A7B0A18" w14:textId="77777777" w:rsidR="00A15E01" w:rsidRDefault="00A15E01" w:rsidP="00FA6CE6">
      <w:pPr>
        <w:ind w:left="567" w:hanging="567"/>
        <w:jc w:val="both"/>
        <w:rPr>
          <w:rStyle w:val="Hyperlink"/>
          <w:u w:val="none"/>
          <w:lang w:val="en-GB"/>
        </w:rPr>
      </w:pPr>
    </w:p>
    <w:p w14:paraId="74351453" w14:textId="55264032" w:rsidR="00FA6CE6" w:rsidRPr="00FA6CE6" w:rsidRDefault="00FA6CE6" w:rsidP="00FA6CE6">
      <w:pPr>
        <w:ind w:left="567" w:hanging="567"/>
        <w:jc w:val="both"/>
        <w:rPr>
          <w:rFonts w:ascii="Times New Roman" w:hAnsi="Times New Roman" w:cs="Times New Roman"/>
          <w:lang w:val="en-GB"/>
        </w:rPr>
      </w:pPr>
      <w:r w:rsidRPr="00FA6CE6">
        <w:rPr>
          <w:rFonts w:ascii="Times New Roman" w:hAnsi="Times New Roman" w:cs="Times New Roman"/>
          <w:lang w:val="en-GB"/>
        </w:rPr>
        <w:t xml:space="preserve">Lee, H. and C. Kim. Benchmarking of Service Quality with Data Envelopment Analysis, </w:t>
      </w:r>
      <w:r w:rsidRPr="00FA6CE6">
        <w:rPr>
          <w:rFonts w:ascii="Times New Roman" w:hAnsi="Times New Roman" w:cs="Times New Roman"/>
          <w:i/>
          <w:lang w:val="en-GB"/>
        </w:rPr>
        <w:t>Expert Systems with Applications</w:t>
      </w:r>
      <w:r w:rsidRPr="00FA6CE6">
        <w:rPr>
          <w:rFonts w:ascii="Times New Roman" w:hAnsi="Times New Roman" w:cs="Times New Roman"/>
          <w:lang w:val="en-GB"/>
        </w:rPr>
        <w:t>, 2014, 41</w:t>
      </w:r>
      <w:r w:rsidR="00DA0907">
        <w:rPr>
          <w:rFonts w:ascii="Times New Roman" w:hAnsi="Times New Roman" w:cs="Times New Roman"/>
          <w:lang w:val="en-GB"/>
        </w:rPr>
        <w:t>(</w:t>
      </w:r>
      <w:r w:rsidR="00DA0907" w:rsidRPr="00DA0907">
        <w:rPr>
          <w:rFonts w:ascii="Times New Roman" w:hAnsi="Times New Roman" w:cs="Times New Roman"/>
          <w:b/>
          <w:lang w:val="en-GB"/>
        </w:rPr>
        <w:t>8</w:t>
      </w:r>
      <w:r w:rsidR="00DA0907">
        <w:rPr>
          <w:rFonts w:ascii="Times New Roman" w:hAnsi="Times New Roman" w:cs="Times New Roman"/>
          <w:lang w:val="en-GB"/>
        </w:rPr>
        <w:t>)</w:t>
      </w:r>
      <w:r w:rsidRPr="00FA6CE6">
        <w:rPr>
          <w:rFonts w:ascii="Times New Roman" w:hAnsi="Times New Roman" w:cs="Times New Roman"/>
          <w:lang w:val="en-GB"/>
        </w:rPr>
        <w:t>, 3761-68.</w:t>
      </w:r>
    </w:p>
    <w:p w14:paraId="3359B0AF" w14:textId="77777777" w:rsidR="00FA6CE6" w:rsidRDefault="00FA6CE6" w:rsidP="00FA6CE6">
      <w:pPr>
        <w:ind w:left="567" w:hanging="567"/>
        <w:jc w:val="both"/>
        <w:rPr>
          <w:lang w:val="en-GB"/>
        </w:rPr>
      </w:pPr>
    </w:p>
    <w:p w14:paraId="4141AF9D" w14:textId="77777777" w:rsidR="00FC13FF" w:rsidRDefault="00FC13FF" w:rsidP="00FC13FF">
      <w:pPr>
        <w:ind w:left="567" w:hanging="567"/>
        <w:jc w:val="both"/>
        <w:rPr>
          <w:rFonts w:ascii="Times New Roman" w:hAnsi="Times New Roman" w:cs="Times New Roman"/>
        </w:rPr>
      </w:pPr>
      <w:proofErr w:type="gramStart"/>
      <w:r>
        <w:rPr>
          <w:rFonts w:ascii="Times New Roman" w:hAnsi="Times New Roman" w:cs="Times New Roman"/>
        </w:rPr>
        <w:t xml:space="preserve">Liu, W.B., Zhang, D.Q., </w:t>
      </w:r>
      <w:proofErr w:type="spellStart"/>
      <w:r>
        <w:rPr>
          <w:rFonts w:ascii="Times New Roman" w:hAnsi="Times New Roman" w:cs="Times New Roman"/>
        </w:rPr>
        <w:t>Meng</w:t>
      </w:r>
      <w:proofErr w:type="spellEnd"/>
      <w:r>
        <w:rPr>
          <w:rFonts w:ascii="Times New Roman" w:hAnsi="Times New Roman" w:cs="Times New Roman"/>
        </w:rPr>
        <w:t xml:space="preserve">, W., Li, X.X. and F. </w:t>
      </w:r>
      <w:proofErr w:type="spellStart"/>
      <w:r>
        <w:rPr>
          <w:rFonts w:ascii="Times New Roman" w:hAnsi="Times New Roman" w:cs="Times New Roman"/>
        </w:rPr>
        <w:t>Xu</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A Study of DEA Models without Explicit Inputs, </w:t>
      </w:r>
      <w:r>
        <w:rPr>
          <w:rFonts w:ascii="Times New Roman" w:hAnsi="Times New Roman" w:cs="Times New Roman"/>
          <w:i/>
        </w:rPr>
        <w:t>Omega</w:t>
      </w:r>
      <w:r>
        <w:rPr>
          <w:rFonts w:ascii="Times New Roman" w:hAnsi="Times New Roman" w:cs="Times New Roman"/>
        </w:rPr>
        <w:t>, 2011, 39, 472-80.</w:t>
      </w:r>
      <w:proofErr w:type="gramEnd"/>
    </w:p>
    <w:p w14:paraId="0FFAF261" w14:textId="77777777" w:rsidR="00FC13FF" w:rsidRPr="00966CC6" w:rsidRDefault="00FC13FF" w:rsidP="00FC13FF">
      <w:pPr>
        <w:ind w:left="567" w:hanging="567"/>
        <w:jc w:val="both"/>
        <w:rPr>
          <w:rFonts w:ascii="Times New Roman" w:hAnsi="Times New Roman" w:cs="Times New Roman"/>
        </w:rPr>
      </w:pPr>
    </w:p>
    <w:p w14:paraId="025DB536" w14:textId="3779ACD6" w:rsidR="009354A1" w:rsidRPr="001E1C57" w:rsidRDefault="009354A1" w:rsidP="001131D9">
      <w:pPr>
        <w:ind w:left="567" w:hanging="567"/>
        <w:jc w:val="both"/>
        <w:rPr>
          <w:rFonts w:ascii="Times New Roman" w:hAnsi="Times New Roman" w:cs="Times New Roman"/>
        </w:rPr>
      </w:pPr>
      <w:r>
        <w:rPr>
          <w:rFonts w:ascii="Times New Roman" w:hAnsi="Times New Roman" w:cs="Times New Roman"/>
        </w:rPr>
        <w:t xml:space="preserve">Lovell, C.A.K. and </w:t>
      </w:r>
      <w:r w:rsidR="001E1C57">
        <w:rPr>
          <w:rFonts w:ascii="Times New Roman" w:hAnsi="Times New Roman" w:cs="Times New Roman"/>
        </w:rPr>
        <w:t xml:space="preserve">J.T. </w:t>
      </w:r>
      <w:r w:rsidR="00DE2B03">
        <w:rPr>
          <w:rFonts w:ascii="Times New Roman" w:hAnsi="Times New Roman" w:cs="Times New Roman"/>
        </w:rPr>
        <w:t>Pastor</w:t>
      </w:r>
      <w:r w:rsidR="001E1C57">
        <w:rPr>
          <w:rFonts w:ascii="Times New Roman" w:hAnsi="Times New Roman" w:cs="Times New Roman"/>
        </w:rPr>
        <w:t xml:space="preserve">.  </w:t>
      </w:r>
      <w:proofErr w:type="gramStart"/>
      <w:r w:rsidR="001E1C57">
        <w:rPr>
          <w:rFonts w:ascii="Times New Roman" w:hAnsi="Times New Roman" w:cs="Times New Roman"/>
        </w:rPr>
        <w:t xml:space="preserve">Radial DEA Models without Inputs or without Outputs, </w:t>
      </w:r>
      <w:r w:rsidR="001E1C57">
        <w:rPr>
          <w:rFonts w:ascii="Times New Roman" w:hAnsi="Times New Roman" w:cs="Times New Roman"/>
          <w:i/>
        </w:rPr>
        <w:t>European Journal of Operational Research</w:t>
      </w:r>
      <w:r w:rsidR="001E1C57">
        <w:rPr>
          <w:rFonts w:ascii="Times New Roman" w:hAnsi="Times New Roman" w:cs="Times New Roman"/>
        </w:rPr>
        <w:t>, 1999, 118</w:t>
      </w:r>
      <w:r w:rsidR="00DA0907">
        <w:rPr>
          <w:rFonts w:ascii="Times New Roman" w:hAnsi="Times New Roman" w:cs="Times New Roman"/>
        </w:rPr>
        <w:t>(</w:t>
      </w:r>
      <w:r w:rsidR="00DA0907" w:rsidRPr="00DA0907">
        <w:rPr>
          <w:rFonts w:ascii="Times New Roman" w:hAnsi="Times New Roman" w:cs="Times New Roman"/>
          <w:b/>
        </w:rPr>
        <w:t>1</w:t>
      </w:r>
      <w:r w:rsidR="00DA0907">
        <w:rPr>
          <w:rFonts w:ascii="Times New Roman" w:hAnsi="Times New Roman" w:cs="Times New Roman"/>
        </w:rPr>
        <w:t>)</w:t>
      </w:r>
      <w:r w:rsidR="001E1C57">
        <w:rPr>
          <w:rFonts w:ascii="Times New Roman" w:hAnsi="Times New Roman" w:cs="Times New Roman"/>
        </w:rPr>
        <w:t>, 46-51.</w:t>
      </w:r>
      <w:proofErr w:type="gramEnd"/>
    </w:p>
    <w:p w14:paraId="28C893DB" w14:textId="77777777" w:rsidR="001E1C57" w:rsidRDefault="001E1C57" w:rsidP="001131D9">
      <w:pPr>
        <w:ind w:left="567" w:hanging="567"/>
        <w:jc w:val="both"/>
        <w:rPr>
          <w:rFonts w:ascii="Times New Roman" w:hAnsi="Times New Roman" w:cs="Times New Roman"/>
        </w:rPr>
      </w:pPr>
    </w:p>
    <w:p w14:paraId="5FFD82E0" w14:textId="51E84C15" w:rsidR="009354A1" w:rsidRDefault="009354A1" w:rsidP="001131D9">
      <w:pPr>
        <w:ind w:left="567" w:hanging="567"/>
        <w:jc w:val="both"/>
        <w:rPr>
          <w:rFonts w:ascii="Times New Roman" w:hAnsi="Times New Roman" w:cs="Times New Roman"/>
        </w:rPr>
      </w:pPr>
      <w:proofErr w:type="spellStart"/>
      <w:r>
        <w:rPr>
          <w:rFonts w:ascii="Times New Roman" w:hAnsi="Times New Roman" w:cs="Times New Roman"/>
        </w:rPr>
        <w:t>Morais</w:t>
      </w:r>
      <w:proofErr w:type="spellEnd"/>
      <w:r>
        <w:rPr>
          <w:rFonts w:ascii="Times New Roman" w:hAnsi="Times New Roman" w:cs="Times New Roman"/>
        </w:rPr>
        <w:t xml:space="preserve">, P. and A.S. </w:t>
      </w:r>
      <w:proofErr w:type="spellStart"/>
      <w:r>
        <w:rPr>
          <w:rFonts w:ascii="Times New Roman" w:hAnsi="Times New Roman" w:cs="Times New Roman"/>
        </w:rPr>
        <w:t>Cama</w:t>
      </w:r>
      <w:r w:rsidR="00BC7BE7">
        <w:rPr>
          <w:rFonts w:ascii="Times New Roman" w:hAnsi="Times New Roman" w:cs="Times New Roman"/>
        </w:rPr>
        <w:t>nho</w:t>
      </w:r>
      <w:proofErr w:type="spellEnd"/>
      <w:r w:rsidR="00BC7BE7">
        <w:rPr>
          <w:rFonts w:ascii="Times New Roman" w:hAnsi="Times New Roman" w:cs="Times New Roman"/>
        </w:rPr>
        <w:t xml:space="preserve">. </w:t>
      </w:r>
      <w:proofErr w:type="gramStart"/>
      <w:r w:rsidR="00BC7BE7">
        <w:rPr>
          <w:rFonts w:ascii="Times New Roman" w:hAnsi="Times New Roman" w:cs="Times New Roman"/>
        </w:rPr>
        <w:t>Evaluation of Performance o</w:t>
      </w:r>
      <w:r>
        <w:rPr>
          <w:rFonts w:ascii="Times New Roman" w:hAnsi="Times New Roman" w:cs="Times New Roman"/>
        </w:rPr>
        <w:t xml:space="preserve">f European Cities with the Aim to Promote Quality of Life Improvements, </w:t>
      </w:r>
      <w:r>
        <w:rPr>
          <w:rFonts w:ascii="Times New Roman" w:hAnsi="Times New Roman" w:cs="Times New Roman"/>
          <w:i/>
        </w:rPr>
        <w:t>Omega</w:t>
      </w:r>
      <w:r>
        <w:rPr>
          <w:rFonts w:ascii="Times New Roman" w:hAnsi="Times New Roman" w:cs="Times New Roman"/>
        </w:rPr>
        <w:t>, 2011, 39</w:t>
      </w:r>
      <w:r w:rsidR="00DA0907">
        <w:rPr>
          <w:rFonts w:ascii="Times New Roman" w:hAnsi="Times New Roman" w:cs="Times New Roman"/>
        </w:rPr>
        <w:t>(</w:t>
      </w:r>
      <w:r w:rsidR="00DA0907" w:rsidRPr="00DA0907">
        <w:rPr>
          <w:rFonts w:ascii="Times New Roman" w:hAnsi="Times New Roman" w:cs="Times New Roman"/>
          <w:b/>
        </w:rPr>
        <w:t>4</w:t>
      </w:r>
      <w:r w:rsidR="00DA0907">
        <w:rPr>
          <w:rFonts w:ascii="Times New Roman" w:hAnsi="Times New Roman" w:cs="Times New Roman"/>
        </w:rPr>
        <w:t>)</w:t>
      </w:r>
      <w:r>
        <w:rPr>
          <w:rFonts w:ascii="Times New Roman" w:hAnsi="Times New Roman" w:cs="Times New Roman"/>
        </w:rPr>
        <w:t>, 398-409.</w:t>
      </w:r>
      <w:proofErr w:type="gramEnd"/>
    </w:p>
    <w:p w14:paraId="3D34665C" w14:textId="77777777" w:rsidR="00BC7BE7" w:rsidRPr="005A7373" w:rsidRDefault="00BC7BE7" w:rsidP="001131D9">
      <w:pPr>
        <w:ind w:left="567" w:hanging="567"/>
        <w:jc w:val="both"/>
        <w:rPr>
          <w:rFonts w:ascii="Times New Roman" w:hAnsi="Times New Roman" w:cs="Times New Roman"/>
          <w:i/>
        </w:rPr>
      </w:pPr>
    </w:p>
    <w:p w14:paraId="1E47BE73" w14:textId="2C714B47" w:rsidR="00BC7BE7" w:rsidRPr="009354A1" w:rsidRDefault="00BC7BE7" w:rsidP="001131D9">
      <w:pPr>
        <w:ind w:left="567" w:hanging="567"/>
        <w:jc w:val="both"/>
        <w:rPr>
          <w:rFonts w:ascii="Times New Roman" w:hAnsi="Times New Roman" w:cs="Times New Roman"/>
        </w:rPr>
      </w:pPr>
      <w:r>
        <w:rPr>
          <w:rFonts w:ascii="Times New Roman" w:hAnsi="Times New Roman" w:cs="Times New Roman"/>
        </w:rPr>
        <w:t xml:space="preserve">OECD. </w:t>
      </w:r>
      <w:r w:rsidRPr="00BC7BE7">
        <w:rPr>
          <w:rFonts w:ascii="Times New Roman" w:hAnsi="Times New Roman" w:cs="Times New Roman"/>
          <w:i/>
        </w:rPr>
        <w:t>Handbook on Constructing Composite Indicators: Methodology and User Guide</w:t>
      </w:r>
      <w:r>
        <w:rPr>
          <w:rFonts w:ascii="Times New Roman" w:hAnsi="Times New Roman" w:cs="Times New Roman"/>
        </w:rPr>
        <w:t xml:space="preserve">, </w:t>
      </w:r>
      <w:r w:rsidR="00A15E01">
        <w:rPr>
          <w:rFonts w:ascii="Times New Roman" w:hAnsi="Times New Roman" w:cs="Times New Roman"/>
        </w:rPr>
        <w:t>2008, Paris</w:t>
      </w:r>
      <w:r>
        <w:rPr>
          <w:rFonts w:ascii="Times New Roman" w:hAnsi="Times New Roman" w:cs="Times New Roman"/>
        </w:rPr>
        <w:t>.</w:t>
      </w:r>
    </w:p>
    <w:p w14:paraId="78C38802" w14:textId="77777777" w:rsidR="00D46AE3" w:rsidRPr="00505E8C" w:rsidRDefault="00D46AE3" w:rsidP="00D46AE3">
      <w:pPr>
        <w:ind w:left="567" w:hanging="567"/>
        <w:jc w:val="both"/>
        <w:rPr>
          <w:rFonts w:ascii="Times New Roman" w:hAnsi="Times New Roman" w:cs="Times New Roman"/>
        </w:rPr>
      </w:pPr>
    </w:p>
    <w:p w14:paraId="5EEC8624" w14:textId="57BBA043" w:rsidR="00EE77B1" w:rsidRPr="00EE77B1" w:rsidRDefault="00EE77B1" w:rsidP="00EE77B1">
      <w:pPr>
        <w:ind w:left="567" w:hanging="567"/>
        <w:jc w:val="both"/>
        <w:rPr>
          <w:rFonts w:ascii="Times New Roman" w:hAnsi="Times New Roman" w:cs="Times New Roman"/>
          <w:lang w:val="en-GB"/>
        </w:rPr>
      </w:pPr>
      <w:proofErr w:type="spellStart"/>
      <w:proofErr w:type="gramStart"/>
      <w:r w:rsidRPr="00EE77B1">
        <w:rPr>
          <w:rFonts w:ascii="Times New Roman" w:hAnsi="Times New Roman" w:cs="Times New Roman"/>
          <w:lang w:val="en-GB"/>
        </w:rPr>
        <w:t>Ramanathan</w:t>
      </w:r>
      <w:proofErr w:type="spellEnd"/>
      <w:r w:rsidRPr="00EE77B1">
        <w:rPr>
          <w:rFonts w:ascii="Times New Roman" w:hAnsi="Times New Roman" w:cs="Times New Roman"/>
          <w:lang w:val="en-GB"/>
        </w:rPr>
        <w:t xml:space="preserve">, R. ABC Inventory Classification with Multiple-criteria Using Weighted Linear Optimization, </w:t>
      </w:r>
      <w:r w:rsidRPr="00EE77B1">
        <w:rPr>
          <w:rFonts w:ascii="Times New Roman" w:hAnsi="Times New Roman" w:cs="Times New Roman"/>
          <w:i/>
          <w:lang w:val="en-GB"/>
        </w:rPr>
        <w:t>Computers and Operations Research</w:t>
      </w:r>
      <w:r w:rsidRPr="00EE77B1">
        <w:rPr>
          <w:rFonts w:ascii="Times New Roman" w:hAnsi="Times New Roman" w:cs="Times New Roman"/>
          <w:lang w:val="en-GB"/>
        </w:rPr>
        <w:t>, 2006, 33</w:t>
      </w:r>
      <w:r w:rsidR="00DA0907">
        <w:rPr>
          <w:rFonts w:ascii="Times New Roman" w:hAnsi="Times New Roman" w:cs="Times New Roman"/>
          <w:lang w:val="en-GB"/>
        </w:rPr>
        <w:t>(</w:t>
      </w:r>
      <w:r w:rsidR="00DA0907" w:rsidRPr="00DA0907">
        <w:rPr>
          <w:rFonts w:ascii="Times New Roman" w:hAnsi="Times New Roman" w:cs="Times New Roman"/>
          <w:b/>
          <w:lang w:val="en-GB"/>
        </w:rPr>
        <w:t>3</w:t>
      </w:r>
      <w:r w:rsidR="00DA0907">
        <w:rPr>
          <w:rFonts w:ascii="Times New Roman" w:hAnsi="Times New Roman" w:cs="Times New Roman"/>
          <w:lang w:val="en-GB"/>
        </w:rPr>
        <w:t>)</w:t>
      </w:r>
      <w:r w:rsidRPr="00EE77B1">
        <w:rPr>
          <w:rFonts w:ascii="Times New Roman" w:hAnsi="Times New Roman" w:cs="Times New Roman"/>
          <w:lang w:val="en-GB"/>
        </w:rPr>
        <w:t>, 695-700.</w:t>
      </w:r>
      <w:proofErr w:type="gramEnd"/>
    </w:p>
    <w:p w14:paraId="32E2F755" w14:textId="77777777" w:rsidR="00EE77B1" w:rsidRPr="00B908CD" w:rsidRDefault="00EE77B1" w:rsidP="00EE77B1">
      <w:pPr>
        <w:ind w:left="567" w:hanging="567"/>
        <w:jc w:val="both"/>
        <w:rPr>
          <w:lang w:val="en-GB"/>
        </w:rPr>
      </w:pPr>
    </w:p>
    <w:p w14:paraId="0D9DB2BE" w14:textId="540013FD" w:rsidR="00FA6CE6" w:rsidRPr="00FA6CE6" w:rsidRDefault="00FA6CE6" w:rsidP="00FA6CE6">
      <w:pPr>
        <w:ind w:left="567" w:hanging="567"/>
        <w:jc w:val="both"/>
        <w:rPr>
          <w:rFonts w:ascii="Times New Roman" w:hAnsi="Times New Roman" w:cs="Times New Roman"/>
          <w:lang w:val="en-GB"/>
        </w:rPr>
      </w:pPr>
      <w:proofErr w:type="spellStart"/>
      <w:r w:rsidRPr="00FA6CE6">
        <w:rPr>
          <w:rFonts w:ascii="Times New Roman" w:hAnsi="Times New Roman" w:cs="Times New Roman"/>
          <w:lang w:val="en-GB"/>
        </w:rPr>
        <w:t>Sevkli</w:t>
      </w:r>
      <w:proofErr w:type="spellEnd"/>
      <w:r w:rsidRPr="00FA6CE6">
        <w:rPr>
          <w:rFonts w:ascii="Times New Roman" w:hAnsi="Times New Roman" w:cs="Times New Roman"/>
          <w:lang w:val="en-GB"/>
        </w:rPr>
        <w:t xml:space="preserve">, M., </w:t>
      </w:r>
      <w:proofErr w:type="spellStart"/>
      <w:r w:rsidRPr="00FA6CE6">
        <w:rPr>
          <w:rFonts w:ascii="Times New Roman" w:hAnsi="Times New Roman" w:cs="Times New Roman"/>
          <w:lang w:val="en-GB"/>
        </w:rPr>
        <w:t>Koh</w:t>
      </w:r>
      <w:proofErr w:type="spellEnd"/>
      <w:r w:rsidRPr="00FA6CE6">
        <w:rPr>
          <w:rFonts w:ascii="Times New Roman" w:hAnsi="Times New Roman" w:cs="Times New Roman"/>
          <w:lang w:val="en-GB"/>
        </w:rPr>
        <w:t xml:space="preserve">, S.C.L., </w:t>
      </w:r>
      <w:proofErr w:type="spellStart"/>
      <w:r w:rsidRPr="00FA6CE6">
        <w:rPr>
          <w:rFonts w:ascii="Times New Roman" w:hAnsi="Times New Roman" w:cs="Times New Roman"/>
          <w:lang w:val="en-GB"/>
        </w:rPr>
        <w:t>Zaim</w:t>
      </w:r>
      <w:proofErr w:type="spellEnd"/>
      <w:r w:rsidRPr="00FA6CE6">
        <w:rPr>
          <w:rFonts w:ascii="Times New Roman" w:hAnsi="Times New Roman" w:cs="Times New Roman"/>
          <w:lang w:val="en-GB"/>
        </w:rPr>
        <w:t xml:space="preserve">, S., </w:t>
      </w:r>
      <w:proofErr w:type="spellStart"/>
      <w:r w:rsidRPr="00FA6CE6">
        <w:rPr>
          <w:rFonts w:ascii="Times New Roman" w:hAnsi="Times New Roman" w:cs="Times New Roman"/>
          <w:lang w:val="en-GB"/>
        </w:rPr>
        <w:t>Dermibag</w:t>
      </w:r>
      <w:proofErr w:type="spellEnd"/>
      <w:r w:rsidRPr="00FA6CE6">
        <w:rPr>
          <w:rFonts w:ascii="Times New Roman" w:hAnsi="Times New Roman" w:cs="Times New Roman"/>
          <w:lang w:val="en-GB"/>
        </w:rPr>
        <w:t xml:space="preserve">, M. and E. </w:t>
      </w:r>
      <w:proofErr w:type="spellStart"/>
      <w:r w:rsidRPr="00FA6CE6">
        <w:rPr>
          <w:rFonts w:ascii="Times New Roman" w:hAnsi="Times New Roman" w:cs="Times New Roman"/>
          <w:lang w:val="en-GB"/>
        </w:rPr>
        <w:t>Tatoglu</w:t>
      </w:r>
      <w:proofErr w:type="spellEnd"/>
      <w:r w:rsidRPr="00FA6CE6">
        <w:rPr>
          <w:rFonts w:ascii="Times New Roman" w:hAnsi="Times New Roman" w:cs="Times New Roman"/>
          <w:lang w:val="en-GB"/>
        </w:rPr>
        <w:t xml:space="preserve">. An Application of Data Envelopment Analytic Hierarchy Process for Supplier Selection: A Case Study of BEKO in Turkey, </w:t>
      </w:r>
      <w:r w:rsidRPr="00FA6CE6">
        <w:rPr>
          <w:rFonts w:ascii="Times New Roman" w:hAnsi="Times New Roman" w:cs="Times New Roman"/>
          <w:i/>
          <w:lang w:val="en-GB"/>
        </w:rPr>
        <w:t>International Journal of Production Research</w:t>
      </w:r>
      <w:r w:rsidRPr="00FA6CE6">
        <w:rPr>
          <w:rFonts w:ascii="Times New Roman" w:hAnsi="Times New Roman" w:cs="Times New Roman"/>
          <w:lang w:val="en-GB"/>
        </w:rPr>
        <w:t>, 2007, 45</w:t>
      </w:r>
      <w:r w:rsidR="00DA0907">
        <w:rPr>
          <w:rFonts w:ascii="Times New Roman" w:hAnsi="Times New Roman" w:cs="Times New Roman"/>
          <w:lang w:val="en-GB"/>
        </w:rPr>
        <w:t>(</w:t>
      </w:r>
      <w:r w:rsidR="00DA0907" w:rsidRPr="00DA0907">
        <w:rPr>
          <w:rFonts w:ascii="Times New Roman" w:hAnsi="Times New Roman" w:cs="Times New Roman"/>
          <w:b/>
          <w:lang w:val="en-GB"/>
        </w:rPr>
        <w:t>9</w:t>
      </w:r>
      <w:r w:rsidR="00DA0907">
        <w:rPr>
          <w:rFonts w:ascii="Times New Roman" w:hAnsi="Times New Roman" w:cs="Times New Roman"/>
          <w:lang w:val="en-GB"/>
        </w:rPr>
        <w:t>)</w:t>
      </w:r>
      <w:r w:rsidRPr="00FA6CE6">
        <w:rPr>
          <w:rFonts w:ascii="Times New Roman" w:hAnsi="Times New Roman" w:cs="Times New Roman"/>
          <w:lang w:val="en-GB"/>
        </w:rPr>
        <w:t>, 1973-2003.</w:t>
      </w:r>
    </w:p>
    <w:p w14:paraId="75DEE70E" w14:textId="77777777" w:rsidR="00FA6CE6" w:rsidRPr="00FA6CE6" w:rsidRDefault="00FA6CE6" w:rsidP="00FA6CE6">
      <w:pPr>
        <w:ind w:left="567" w:hanging="567"/>
        <w:jc w:val="both"/>
        <w:rPr>
          <w:rFonts w:ascii="Times New Roman" w:hAnsi="Times New Roman" w:cs="Times New Roman"/>
          <w:lang w:val="en-GB"/>
        </w:rPr>
      </w:pPr>
    </w:p>
    <w:p w14:paraId="03530198" w14:textId="77777777" w:rsidR="00FA6CE6" w:rsidRPr="00FA6CE6" w:rsidRDefault="00FA6CE6" w:rsidP="00FA6CE6">
      <w:pPr>
        <w:ind w:left="567" w:hanging="567"/>
        <w:jc w:val="both"/>
        <w:rPr>
          <w:rFonts w:ascii="Times New Roman" w:hAnsi="Times New Roman" w:cs="Times New Roman"/>
          <w:lang w:val="en-GB"/>
        </w:rPr>
      </w:pPr>
      <w:proofErr w:type="spellStart"/>
      <w:proofErr w:type="gramStart"/>
      <w:r w:rsidRPr="00FA6CE6">
        <w:rPr>
          <w:rFonts w:ascii="Times New Roman" w:hAnsi="Times New Roman" w:cs="Times New Roman"/>
          <w:lang w:val="en-GB"/>
        </w:rPr>
        <w:t>Seydel</w:t>
      </w:r>
      <w:proofErr w:type="spellEnd"/>
      <w:r w:rsidRPr="00FA6CE6">
        <w:rPr>
          <w:rFonts w:ascii="Times New Roman" w:hAnsi="Times New Roman" w:cs="Times New Roman"/>
          <w:lang w:val="en-GB"/>
        </w:rPr>
        <w:t xml:space="preserve">, J. Data Envelopment Analysis for Decision Support, </w:t>
      </w:r>
      <w:r w:rsidRPr="00FA6CE6">
        <w:rPr>
          <w:rFonts w:ascii="Times New Roman" w:hAnsi="Times New Roman" w:cs="Times New Roman"/>
          <w:i/>
          <w:lang w:val="en-GB"/>
        </w:rPr>
        <w:t>Industrial Management and Data Systems</w:t>
      </w:r>
      <w:r w:rsidRPr="00FA6CE6">
        <w:rPr>
          <w:rFonts w:ascii="Times New Roman" w:hAnsi="Times New Roman" w:cs="Times New Roman"/>
          <w:lang w:val="en-GB"/>
        </w:rPr>
        <w:t>, 2006, 106, 81-95.</w:t>
      </w:r>
      <w:proofErr w:type="gramEnd"/>
    </w:p>
    <w:p w14:paraId="2270E14A" w14:textId="77777777" w:rsidR="00FA6CE6" w:rsidRPr="00F7514C" w:rsidRDefault="00FA6CE6" w:rsidP="00FA6CE6">
      <w:pPr>
        <w:ind w:left="567" w:hanging="567"/>
        <w:jc w:val="both"/>
        <w:rPr>
          <w:lang w:val="en-GB"/>
        </w:rPr>
      </w:pPr>
    </w:p>
    <w:p w14:paraId="0045BE39" w14:textId="4C040B6C" w:rsidR="00D46AE3" w:rsidRDefault="00D46AE3" w:rsidP="00D46AE3">
      <w:pPr>
        <w:spacing w:line="360" w:lineRule="auto"/>
        <w:jc w:val="both"/>
        <w:rPr>
          <w:rFonts w:ascii="Times New Roman" w:hAnsi="Times New Roman" w:cs="Times New Roman"/>
        </w:rPr>
      </w:pPr>
      <w:proofErr w:type="gramStart"/>
      <w:r w:rsidRPr="00152669">
        <w:rPr>
          <w:rFonts w:ascii="Times New Roman" w:hAnsi="Times New Roman" w:cs="Times New Roman"/>
        </w:rPr>
        <w:t>University of Macedonia</w:t>
      </w:r>
      <w:r w:rsidR="008B0F63">
        <w:rPr>
          <w:rFonts w:ascii="Times New Roman" w:hAnsi="Times New Roman" w:cs="Times New Roman"/>
        </w:rPr>
        <w:t>.</w:t>
      </w:r>
      <w:proofErr w:type="gramEnd"/>
      <w:r>
        <w:t xml:space="preserve"> </w:t>
      </w:r>
      <w:proofErr w:type="gramStart"/>
      <w:r w:rsidR="00B36DBA">
        <w:rPr>
          <w:rFonts w:ascii="Times New Roman" w:hAnsi="Times New Roman" w:cs="Times New Roman"/>
          <w:i/>
        </w:rPr>
        <w:t>Guide of</w:t>
      </w:r>
      <w:r w:rsidRPr="00152669">
        <w:rPr>
          <w:rFonts w:ascii="Times New Roman" w:hAnsi="Times New Roman" w:cs="Times New Roman"/>
          <w:i/>
        </w:rPr>
        <w:t xml:space="preserve"> Published Research Work</w:t>
      </w:r>
      <w:r>
        <w:rPr>
          <w:rFonts w:ascii="Times New Roman" w:hAnsi="Times New Roman" w:cs="Times New Roman"/>
        </w:rPr>
        <w:t xml:space="preserve">, </w:t>
      </w:r>
      <w:r w:rsidR="00A15E01">
        <w:rPr>
          <w:rFonts w:ascii="Times New Roman" w:hAnsi="Times New Roman" w:cs="Times New Roman"/>
        </w:rPr>
        <w:t>2009, Thessaloniki</w:t>
      </w:r>
      <w:r>
        <w:rPr>
          <w:rFonts w:ascii="Times New Roman" w:hAnsi="Times New Roman" w:cs="Times New Roman"/>
        </w:rPr>
        <w:t>.</w:t>
      </w:r>
      <w:proofErr w:type="gramEnd"/>
    </w:p>
    <w:p w14:paraId="3FF2BB05" w14:textId="77777777" w:rsidR="005A7373" w:rsidRDefault="005A7373" w:rsidP="005A7373">
      <w:pPr>
        <w:jc w:val="both"/>
        <w:rPr>
          <w:rFonts w:ascii="Times New Roman" w:hAnsi="Times New Roman" w:cs="Times New Roman"/>
        </w:rPr>
      </w:pPr>
    </w:p>
    <w:p w14:paraId="753675F7" w14:textId="220BAF19" w:rsidR="008261B1" w:rsidRPr="008261B1" w:rsidRDefault="008261B1" w:rsidP="008261B1">
      <w:pPr>
        <w:ind w:left="567" w:hanging="567"/>
        <w:jc w:val="both"/>
        <w:rPr>
          <w:rFonts w:ascii="Times New Roman" w:hAnsi="Times New Roman" w:cs="Times New Roman"/>
          <w:lang w:val="en-GB"/>
        </w:rPr>
      </w:pPr>
      <w:proofErr w:type="gramStart"/>
      <w:r w:rsidRPr="008261B1">
        <w:rPr>
          <w:rFonts w:ascii="Times New Roman" w:hAnsi="Times New Roman" w:cs="Times New Roman"/>
          <w:lang w:val="en-GB"/>
        </w:rPr>
        <w:t xml:space="preserve">Yang, G., W. </w:t>
      </w:r>
      <w:proofErr w:type="spellStart"/>
      <w:r w:rsidRPr="008261B1">
        <w:rPr>
          <w:rFonts w:ascii="Times New Roman" w:hAnsi="Times New Roman" w:cs="Times New Roman"/>
          <w:lang w:val="en-GB"/>
        </w:rPr>
        <w:t>Shen</w:t>
      </w:r>
      <w:proofErr w:type="spellEnd"/>
      <w:r w:rsidRPr="008261B1">
        <w:rPr>
          <w:rFonts w:ascii="Times New Roman" w:hAnsi="Times New Roman" w:cs="Times New Roman"/>
          <w:lang w:val="en-GB"/>
        </w:rPr>
        <w:t>, D. Zhang and W. Liu.</w:t>
      </w:r>
      <w:proofErr w:type="gramEnd"/>
      <w:r w:rsidRPr="008261B1">
        <w:rPr>
          <w:rFonts w:ascii="Times New Roman" w:hAnsi="Times New Roman" w:cs="Times New Roman"/>
          <w:lang w:val="en-GB"/>
        </w:rPr>
        <w:t xml:space="preserve"> Extended Utility and DEA Models Without Explicit Input, </w:t>
      </w:r>
      <w:r w:rsidRPr="008261B1">
        <w:rPr>
          <w:rFonts w:ascii="Times New Roman" w:hAnsi="Times New Roman" w:cs="Times New Roman"/>
          <w:i/>
          <w:lang w:val="en-GB"/>
        </w:rPr>
        <w:t>Journal of the Operational Research Society</w:t>
      </w:r>
      <w:r w:rsidRPr="008261B1">
        <w:rPr>
          <w:rFonts w:ascii="Times New Roman" w:hAnsi="Times New Roman" w:cs="Times New Roman"/>
          <w:lang w:val="en-GB"/>
        </w:rPr>
        <w:t>, 2014, 65</w:t>
      </w:r>
      <w:r w:rsidR="00DA0907">
        <w:rPr>
          <w:rFonts w:ascii="Times New Roman" w:hAnsi="Times New Roman" w:cs="Times New Roman"/>
          <w:lang w:val="en-GB"/>
        </w:rPr>
        <w:t>(</w:t>
      </w:r>
      <w:r w:rsidR="00DA0907" w:rsidRPr="00DA0907">
        <w:rPr>
          <w:rFonts w:ascii="Times New Roman" w:hAnsi="Times New Roman" w:cs="Times New Roman"/>
          <w:b/>
          <w:lang w:val="en-GB"/>
        </w:rPr>
        <w:t>8</w:t>
      </w:r>
      <w:r w:rsidR="00DA0907">
        <w:rPr>
          <w:rFonts w:ascii="Times New Roman" w:hAnsi="Times New Roman" w:cs="Times New Roman"/>
          <w:lang w:val="en-GB"/>
        </w:rPr>
        <w:t>)</w:t>
      </w:r>
      <w:r w:rsidRPr="008261B1">
        <w:rPr>
          <w:rFonts w:ascii="Times New Roman" w:hAnsi="Times New Roman" w:cs="Times New Roman"/>
          <w:lang w:val="en-GB"/>
        </w:rPr>
        <w:t>, 1212-20.</w:t>
      </w:r>
    </w:p>
    <w:p w14:paraId="45587041" w14:textId="77777777" w:rsidR="008261B1" w:rsidRDefault="008261B1" w:rsidP="008261B1">
      <w:pPr>
        <w:ind w:left="567" w:hanging="567"/>
        <w:jc w:val="both"/>
        <w:rPr>
          <w:lang w:val="en-GB"/>
        </w:rPr>
      </w:pPr>
    </w:p>
    <w:p w14:paraId="5DFD777F" w14:textId="354911EC" w:rsidR="005A7373" w:rsidRDefault="005A7373" w:rsidP="005A7373">
      <w:pPr>
        <w:tabs>
          <w:tab w:val="left" w:pos="142"/>
        </w:tabs>
        <w:ind w:left="567" w:hanging="567"/>
        <w:jc w:val="both"/>
        <w:rPr>
          <w:rFonts w:ascii="Times New Roman" w:hAnsi="Times New Roman" w:cs="Times New Roman"/>
        </w:rPr>
      </w:pPr>
      <w:proofErr w:type="spellStart"/>
      <w:r>
        <w:rPr>
          <w:rFonts w:ascii="Times New Roman" w:hAnsi="Times New Roman" w:cs="Times New Roman"/>
        </w:rPr>
        <w:t>Zanella</w:t>
      </w:r>
      <w:proofErr w:type="spellEnd"/>
      <w:r>
        <w:rPr>
          <w:rFonts w:ascii="Times New Roman" w:hAnsi="Times New Roman" w:cs="Times New Roman"/>
        </w:rPr>
        <w:t xml:space="preserve">, A., </w:t>
      </w:r>
      <w:proofErr w:type="spellStart"/>
      <w:r>
        <w:rPr>
          <w:rFonts w:ascii="Times New Roman" w:hAnsi="Times New Roman" w:cs="Times New Roman"/>
        </w:rPr>
        <w:t>Camanho</w:t>
      </w:r>
      <w:proofErr w:type="spellEnd"/>
      <w:r>
        <w:rPr>
          <w:rFonts w:ascii="Times New Roman" w:hAnsi="Times New Roman" w:cs="Times New Roman"/>
        </w:rPr>
        <w:t xml:space="preserve">, A.S. and T.G. Dias. Benchmarking Countries’ Environmental Performance, </w:t>
      </w:r>
      <w:r>
        <w:rPr>
          <w:rFonts w:ascii="Times New Roman" w:hAnsi="Times New Roman" w:cs="Times New Roman"/>
          <w:i/>
        </w:rPr>
        <w:t>Journal of Operational Research Society</w:t>
      </w:r>
      <w:r>
        <w:rPr>
          <w:rFonts w:ascii="Times New Roman" w:hAnsi="Times New Roman" w:cs="Times New Roman"/>
        </w:rPr>
        <w:t>, 2013, 64</w:t>
      </w:r>
      <w:r w:rsidR="00DA0907">
        <w:rPr>
          <w:rFonts w:ascii="Times New Roman" w:hAnsi="Times New Roman" w:cs="Times New Roman"/>
        </w:rPr>
        <w:t>(</w:t>
      </w:r>
      <w:r w:rsidR="00DA0907" w:rsidRPr="00DA0907">
        <w:rPr>
          <w:rFonts w:ascii="Times New Roman" w:hAnsi="Times New Roman" w:cs="Times New Roman"/>
          <w:b/>
        </w:rPr>
        <w:t>3</w:t>
      </w:r>
      <w:r w:rsidR="00DA0907">
        <w:rPr>
          <w:rFonts w:ascii="Times New Roman" w:hAnsi="Times New Roman" w:cs="Times New Roman"/>
        </w:rPr>
        <w:t>)</w:t>
      </w:r>
      <w:r>
        <w:rPr>
          <w:rFonts w:ascii="Times New Roman" w:hAnsi="Times New Roman" w:cs="Times New Roman"/>
        </w:rPr>
        <w:t>, 426-38.</w:t>
      </w:r>
    </w:p>
    <w:p w14:paraId="2D1F37D8" w14:textId="77777777" w:rsidR="00EE77B1" w:rsidRDefault="00EE77B1" w:rsidP="005A7373">
      <w:pPr>
        <w:tabs>
          <w:tab w:val="left" w:pos="142"/>
        </w:tabs>
        <w:ind w:left="567" w:hanging="567"/>
        <w:jc w:val="both"/>
        <w:rPr>
          <w:rFonts w:ascii="Times New Roman" w:hAnsi="Times New Roman" w:cs="Times New Roman"/>
        </w:rPr>
      </w:pPr>
    </w:p>
    <w:p w14:paraId="32D670AA" w14:textId="4F415B48" w:rsidR="00EE77B1" w:rsidRPr="00EE77B1" w:rsidRDefault="00EE77B1" w:rsidP="00EE77B1">
      <w:pPr>
        <w:ind w:left="567" w:hanging="567"/>
        <w:jc w:val="both"/>
        <w:rPr>
          <w:rFonts w:ascii="Times New Roman" w:hAnsi="Times New Roman" w:cs="Times New Roman"/>
          <w:lang w:val="en-GB"/>
        </w:rPr>
      </w:pPr>
      <w:r w:rsidRPr="00EE77B1">
        <w:rPr>
          <w:rFonts w:ascii="Times New Roman" w:hAnsi="Times New Roman" w:cs="Times New Roman"/>
          <w:lang w:val="en-GB"/>
        </w:rPr>
        <w:t xml:space="preserve">Zhou, P. and L. Fan. </w:t>
      </w:r>
      <w:proofErr w:type="gramStart"/>
      <w:r w:rsidRPr="00EE77B1">
        <w:rPr>
          <w:rFonts w:ascii="Times New Roman" w:hAnsi="Times New Roman" w:cs="Times New Roman"/>
          <w:lang w:val="en-GB"/>
        </w:rPr>
        <w:t xml:space="preserve">A Note on Multi-criteria ABC Inventory Classification Using Weighted Linear Optimization, </w:t>
      </w:r>
      <w:r w:rsidRPr="00EE77B1">
        <w:rPr>
          <w:rFonts w:ascii="Times New Roman" w:hAnsi="Times New Roman" w:cs="Times New Roman"/>
          <w:i/>
          <w:lang w:val="en-GB"/>
        </w:rPr>
        <w:t>European Journal of Operational Research</w:t>
      </w:r>
      <w:r w:rsidRPr="00EE77B1">
        <w:rPr>
          <w:rFonts w:ascii="Times New Roman" w:hAnsi="Times New Roman" w:cs="Times New Roman"/>
          <w:lang w:val="en-GB"/>
        </w:rPr>
        <w:t>, 2007, 182</w:t>
      </w:r>
      <w:r w:rsidR="00DA0907">
        <w:rPr>
          <w:rFonts w:ascii="Times New Roman" w:hAnsi="Times New Roman" w:cs="Times New Roman"/>
          <w:lang w:val="en-GB"/>
        </w:rPr>
        <w:t>(</w:t>
      </w:r>
      <w:r w:rsidR="00DA0907" w:rsidRPr="00DA0907">
        <w:rPr>
          <w:rFonts w:ascii="Times New Roman" w:hAnsi="Times New Roman" w:cs="Times New Roman"/>
          <w:b/>
          <w:lang w:val="en-GB"/>
        </w:rPr>
        <w:t>3</w:t>
      </w:r>
      <w:r w:rsidR="00DA0907">
        <w:rPr>
          <w:rFonts w:ascii="Times New Roman" w:hAnsi="Times New Roman" w:cs="Times New Roman"/>
          <w:lang w:val="en-GB"/>
        </w:rPr>
        <w:t>)</w:t>
      </w:r>
      <w:r w:rsidRPr="00EE77B1">
        <w:rPr>
          <w:rFonts w:ascii="Times New Roman" w:hAnsi="Times New Roman" w:cs="Times New Roman"/>
          <w:lang w:val="en-GB"/>
        </w:rPr>
        <w:t>, 1488-91.</w:t>
      </w:r>
      <w:proofErr w:type="gramEnd"/>
    </w:p>
    <w:p w14:paraId="67AD05FE" w14:textId="77777777" w:rsidR="00EE77B1" w:rsidRPr="00EE77B1" w:rsidRDefault="00EE77B1" w:rsidP="00EE77B1">
      <w:pPr>
        <w:ind w:left="567" w:hanging="567"/>
        <w:jc w:val="both"/>
        <w:rPr>
          <w:rFonts w:ascii="Times New Roman" w:hAnsi="Times New Roman" w:cs="Times New Roman"/>
          <w:lang w:val="en-GB"/>
        </w:rPr>
      </w:pPr>
    </w:p>
    <w:p w14:paraId="21AE3290" w14:textId="77777777" w:rsidR="00EE77B1" w:rsidRPr="005A7373" w:rsidRDefault="00EE77B1" w:rsidP="005A7373">
      <w:pPr>
        <w:tabs>
          <w:tab w:val="left" w:pos="142"/>
        </w:tabs>
        <w:ind w:left="567" w:hanging="567"/>
        <w:jc w:val="both"/>
        <w:rPr>
          <w:rFonts w:ascii="Times New Roman" w:hAnsi="Times New Roman" w:cs="Times New Roman"/>
        </w:rPr>
      </w:pPr>
    </w:p>
    <w:p w14:paraId="19BE8657" w14:textId="77777777" w:rsidR="00BC7BE7" w:rsidRDefault="00BC7BE7">
      <w:pPr>
        <w:rPr>
          <w:rFonts w:ascii="Times New Roman" w:hAnsi="Times New Roman" w:cs="Times New Roman"/>
          <w:b/>
        </w:rPr>
      </w:pPr>
      <w:bookmarkStart w:id="0" w:name="_GoBack"/>
      <w:bookmarkEnd w:id="0"/>
      <w:r>
        <w:rPr>
          <w:rFonts w:ascii="Times New Roman" w:hAnsi="Times New Roman" w:cs="Times New Roman"/>
          <w:b/>
        </w:rPr>
        <w:br w:type="page"/>
      </w:r>
    </w:p>
    <w:p w14:paraId="5FDAD856" w14:textId="3C1C037C" w:rsidR="001131D9" w:rsidRPr="001D767F" w:rsidRDefault="001D767F" w:rsidP="001131D9">
      <w:pPr>
        <w:rPr>
          <w:rFonts w:ascii="Times New Roman" w:hAnsi="Times New Roman" w:cs="Times New Roman"/>
          <w:b/>
        </w:rPr>
      </w:pPr>
      <w:r w:rsidRPr="001D767F">
        <w:rPr>
          <w:rFonts w:ascii="Times New Roman" w:hAnsi="Times New Roman" w:cs="Times New Roman"/>
          <w:b/>
        </w:rPr>
        <w:t>Footnotes</w:t>
      </w:r>
    </w:p>
    <w:sectPr w:rsidR="001131D9" w:rsidRPr="001D767F" w:rsidSect="00995EA0">
      <w:footerReference w:type="even" r:id="rId15"/>
      <w:footerReference w:type="default" r:id="rId16"/>
      <w:endnotePr>
        <w:numFmt w:val="decimal"/>
      </w:endnotePr>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691E0" w14:textId="77777777" w:rsidR="00605328" w:rsidRDefault="00605328" w:rsidP="00942B99">
      <w:r>
        <w:separator/>
      </w:r>
    </w:p>
  </w:endnote>
  <w:endnote w:type="continuationSeparator" w:id="0">
    <w:p w14:paraId="08237CF0" w14:textId="77777777" w:rsidR="00605328" w:rsidRDefault="00605328" w:rsidP="00942B99">
      <w:r>
        <w:continuationSeparator/>
      </w:r>
    </w:p>
  </w:endnote>
  <w:endnote w:id="1">
    <w:p w14:paraId="1FFA7B78" w14:textId="73E7AA86" w:rsidR="00605328" w:rsidRPr="00942B99" w:rsidRDefault="00605328" w:rsidP="001D767F">
      <w:pPr>
        <w:pStyle w:val="EndnoteText"/>
        <w:spacing w:line="360" w:lineRule="auto"/>
        <w:jc w:val="both"/>
        <w:rPr>
          <w:rFonts w:ascii="Times New Roman" w:hAnsi="Times New Roman" w:cs="Times New Roman"/>
        </w:rPr>
      </w:pPr>
      <w:r w:rsidRPr="00942B99">
        <w:rPr>
          <w:rStyle w:val="EndnoteReference"/>
          <w:rFonts w:ascii="Times New Roman" w:hAnsi="Times New Roman" w:cs="Times New Roman"/>
        </w:rPr>
        <w:endnoteRef/>
      </w:r>
      <w:r w:rsidRPr="00942B99">
        <w:rPr>
          <w:rFonts w:ascii="Times New Roman" w:hAnsi="Times New Roman" w:cs="Times New Roman"/>
        </w:rPr>
        <w:t xml:space="preserve"> </w:t>
      </w:r>
      <w:r>
        <w:rPr>
          <w:rFonts w:ascii="Times New Roman" w:hAnsi="Times New Roman" w:cs="Times New Roman"/>
        </w:rPr>
        <w:t xml:space="preserve">The </w:t>
      </w:r>
      <w:r w:rsidRPr="00942B99">
        <w:rPr>
          <w:rFonts w:ascii="Times New Roman" w:hAnsi="Times New Roman" w:cs="Times New Roman"/>
        </w:rPr>
        <w:t xml:space="preserve">OECD </w:t>
      </w:r>
      <w:r>
        <w:rPr>
          <w:rFonts w:ascii="Times New Roman" w:hAnsi="Times New Roman" w:cs="Times New Roman"/>
        </w:rPr>
        <w:t xml:space="preserve">(2008) </w:t>
      </w:r>
      <w:r w:rsidRPr="00942B99">
        <w:rPr>
          <w:rFonts w:ascii="Times New Roman" w:hAnsi="Times New Roman" w:cs="Times New Roman"/>
        </w:rPr>
        <w:t>Handbook</w:t>
      </w:r>
      <w:r>
        <w:rPr>
          <w:rFonts w:ascii="Times New Roman" w:hAnsi="Times New Roman" w:cs="Times New Roman"/>
        </w:rPr>
        <w:t xml:space="preserve"> also mentioned another set of methods that can be used to estimate composite indicators.  These are referred to as participatory methods and are the budget allocation process, the analytic hierarchy process and the conjoint analysis. </w:t>
      </w:r>
      <w:r w:rsidRPr="00942B99">
        <w:rPr>
          <w:rFonts w:ascii="Times New Roman" w:hAnsi="Times New Roman" w:cs="Times New Roman"/>
        </w:rPr>
        <w:t xml:space="preserve"> </w:t>
      </w:r>
    </w:p>
  </w:endnote>
  <w:endnote w:id="2">
    <w:p w14:paraId="0AB6928F" w14:textId="3B57EB44" w:rsidR="00605328" w:rsidRDefault="00605328" w:rsidP="002C24D7">
      <w:pPr>
        <w:pStyle w:val="EndnoteText"/>
        <w:spacing w:line="360" w:lineRule="auto"/>
        <w:jc w:val="both"/>
      </w:pPr>
      <w:r>
        <w:rPr>
          <w:rStyle w:val="EndnoteReference"/>
        </w:rPr>
        <w:endnoteRef/>
      </w:r>
      <w:r>
        <w:t xml:space="preserve">  </w:t>
      </w:r>
      <w:r>
        <w:rPr>
          <w:rFonts w:ascii="Times New Roman" w:hAnsi="Times New Roman" w:cs="Times New Roman"/>
        </w:rPr>
        <w:t xml:space="preserve">This has been interpreted as a “helmsman”, namely a collective decision-making apparatus underlying every unit being assessed, that attempts to steer all of the sub-indicators towards their maximum levels (Lovell and Pastor, 1999).  </w:t>
      </w:r>
    </w:p>
  </w:endnote>
  <w:endnote w:id="3">
    <w:p w14:paraId="0C37CD49" w14:textId="18ED2D02" w:rsidR="00605328" w:rsidRPr="00C642D7" w:rsidRDefault="00605328" w:rsidP="0054056E">
      <w:pPr>
        <w:pStyle w:val="EndnoteText"/>
        <w:spacing w:line="360" w:lineRule="auto"/>
        <w:jc w:val="both"/>
        <w:rPr>
          <w:rFonts w:ascii="Times New Roman" w:hAnsi="Times New Roman" w:cs="Times New Roman"/>
        </w:rPr>
      </w:pPr>
      <w:r>
        <w:rPr>
          <w:rStyle w:val="EndnoteReference"/>
        </w:rPr>
        <w:endnoteRef/>
      </w:r>
      <w:r>
        <w:t xml:space="preserve"> </w:t>
      </w:r>
      <w:r>
        <w:rPr>
          <w:rFonts w:ascii="Times New Roman" w:hAnsi="Times New Roman" w:cs="Times New Roman"/>
        </w:rPr>
        <w:t xml:space="preserve">More on the radial DEA models with a single constant input can be found in Lovell and Pastor (1999), </w:t>
      </w:r>
      <w:proofErr w:type="spellStart"/>
      <w:r>
        <w:rPr>
          <w:rFonts w:ascii="Times New Roman" w:hAnsi="Times New Roman" w:cs="Times New Roman"/>
        </w:rPr>
        <w:t>Caporaletti</w:t>
      </w:r>
      <w:proofErr w:type="spellEnd"/>
      <w:r>
        <w:rPr>
          <w:rFonts w:ascii="Times New Roman" w:hAnsi="Times New Roman" w:cs="Times New Roman"/>
        </w:rPr>
        <w:t xml:space="preserve">, </w:t>
      </w:r>
      <w:proofErr w:type="spellStart"/>
      <w:r>
        <w:rPr>
          <w:rFonts w:ascii="Times New Roman" w:hAnsi="Times New Roman" w:cs="Times New Roman"/>
        </w:rPr>
        <w:t>Dula</w:t>
      </w:r>
      <w:proofErr w:type="spellEnd"/>
      <w:r>
        <w:rPr>
          <w:rFonts w:ascii="Times New Roman" w:hAnsi="Times New Roman" w:cs="Times New Roman"/>
        </w:rPr>
        <w:t xml:space="preserve"> and </w:t>
      </w:r>
      <w:proofErr w:type="spellStart"/>
      <w:r>
        <w:rPr>
          <w:rFonts w:ascii="Times New Roman" w:hAnsi="Times New Roman" w:cs="Times New Roman"/>
        </w:rPr>
        <w:t>Womer</w:t>
      </w:r>
      <w:proofErr w:type="spellEnd"/>
      <w:r>
        <w:rPr>
          <w:rFonts w:ascii="Times New Roman" w:hAnsi="Times New Roman" w:cs="Times New Roman"/>
        </w:rPr>
        <w:t xml:space="preserve"> (1999), and Liu </w:t>
      </w:r>
      <w:r w:rsidRPr="00F30F3E">
        <w:rPr>
          <w:rFonts w:ascii="Times New Roman" w:hAnsi="Times New Roman" w:cs="Times New Roman"/>
          <w:i/>
        </w:rPr>
        <w:t>et al</w:t>
      </w:r>
      <w:r>
        <w:rPr>
          <w:rFonts w:ascii="Times New Roman" w:hAnsi="Times New Roman" w:cs="Times New Roman"/>
        </w:rPr>
        <w:t>. (2011).  Notice also that the unitary input DEA models are equivalent to DEA models without explicit inputs.</w:t>
      </w:r>
    </w:p>
  </w:endnote>
  <w:endnote w:id="4">
    <w:p w14:paraId="725E4885" w14:textId="4E917CA4" w:rsidR="00605328" w:rsidRPr="00701A3B" w:rsidRDefault="00605328" w:rsidP="00701A3B">
      <w:pPr>
        <w:pStyle w:val="EndnoteText"/>
        <w:spacing w:line="360" w:lineRule="auto"/>
        <w:jc w:val="both"/>
        <w:rPr>
          <w:rFonts w:ascii="Times New Roman" w:hAnsi="Times New Roman" w:cs="Times New Roman"/>
        </w:rPr>
      </w:pPr>
      <w:r w:rsidRPr="00701A3B">
        <w:rPr>
          <w:rStyle w:val="EndnoteReference"/>
          <w:rFonts w:ascii="Times New Roman" w:hAnsi="Times New Roman" w:cs="Times New Roman"/>
        </w:rPr>
        <w:endnoteRef/>
      </w:r>
      <w:r w:rsidRPr="00701A3B">
        <w:rPr>
          <w:rFonts w:ascii="Times New Roman" w:hAnsi="Times New Roman" w:cs="Times New Roman"/>
        </w:rPr>
        <w:t xml:space="preserve"> Since the </w:t>
      </w:r>
      <w:r>
        <w:rPr>
          <w:rFonts w:ascii="Times New Roman" w:hAnsi="Times New Roman" w:cs="Times New Roman"/>
        </w:rPr>
        <w:t xml:space="preserve">radial, single constant input </w:t>
      </w:r>
      <w:r w:rsidRPr="00701A3B">
        <w:rPr>
          <w:rFonts w:ascii="Times New Roman" w:hAnsi="Times New Roman" w:cs="Times New Roman"/>
        </w:rPr>
        <w:t>DEA model exhibits constant returns to scale (Lovell and Pastor, 1999) the composite indicator ca</w:t>
      </w:r>
      <w:r>
        <w:rPr>
          <w:rFonts w:ascii="Times New Roman" w:hAnsi="Times New Roman" w:cs="Times New Roman"/>
        </w:rPr>
        <w:t>n also be estimated by using the output-</w:t>
      </w:r>
      <w:r w:rsidRPr="00701A3B">
        <w:rPr>
          <w:rFonts w:ascii="Times New Roman" w:hAnsi="Times New Roman" w:cs="Times New Roman"/>
        </w:rPr>
        <w:t>oriented formulation of the model.</w:t>
      </w:r>
    </w:p>
  </w:endnote>
  <w:endnote w:id="5">
    <w:p w14:paraId="6A13DE50" w14:textId="461DCFBD" w:rsidR="00605328" w:rsidRPr="00F44F14" w:rsidRDefault="00605328" w:rsidP="00F44F14">
      <w:pPr>
        <w:pStyle w:val="EndnoteText"/>
        <w:spacing w:line="360" w:lineRule="auto"/>
        <w:jc w:val="both"/>
        <w:rPr>
          <w:rFonts w:ascii="Times New Roman" w:hAnsi="Times New Roman" w:cs="Times New Roman"/>
        </w:rPr>
      </w:pPr>
      <w:r w:rsidRPr="00F44F14">
        <w:rPr>
          <w:rStyle w:val="EndnoteReference"/>
          <w:rFonts w:ascii="Times New Roman" w:hAnsi="Times New Roman" w:cs="Times New Roman"/>
        </w:rPr>
        <w:endnoteRef/>
      </w:r>
      <w:r w:rsidRPr="00F44F14">
        <w:rPr>
          <w:rFonts w:ascii="Times New Roman" w:hAnsi="Times New Roman" w:cs="Times New Roman"/>
        </w:rPr>
        <w:t xml:space="preserve"> </w:t>
      </w:r>
      <w:r>
        <w:rPr>
          <w:rFonts w:ascii="Times New Roman" w:hAnsi="Times New Roman" w:cs="Times New Roman"/>
        </w:rPr>
        <w:t xml:space="preserve"> </w:t>
      </w:r>
      <w:r w:rsidRPr="00F44F14">
        <w:rPr>
          <w:rFonts w:ascii="Times New Roman" w:hAnsi="Times New Roman" w:cs="Times New Roman"/>
        </w:rPr>
        <w:t xml:space="preserve">If the </w:t>
      </w:r>
      <w:proofErr w:type="spellStart"/>
      <w:r w:rsidRPr="00F44F14">
        <w:rPr>
          <w:rFonts w:ascii="Times New Roman" w:hAnsi="Times New Roman" w:cs="Times New Roman"/>
        </w:rPr>
        <w:t>k</w:t>
      </w:r>
      <w:r w:rsidRPr="00F44F14">
        <w:rPr>
          <w:rFonts w:ascii="Times New Roman" w:hAnsi="Times New Roman" w:cs="Times New Roman"/>
          <w:vertAlign w:val="superscript"/>
        </w:rPr>
        <w:t>th</w:t>
      </w:r>
      <w:proofErr w:type="spellEnd"/>
      <w:r w:rsidRPr="00F44F14">
        <w:rPr>
          <w:rFonts w:ascii="Times New Roman" w:hAnsi="Times New Roman" w:cs="Times New Roman"/>
        </w:rPr>
        <w:t xml:space="preserve"> DMU is efficient the</w:t>
      </w:r>
      <w:r>
        <w:rPr>
          <w:rFonts w:ascii="Times New Roman" w:hAnsi="Times New Roman" w:cs="Times New Roman"/>
        </w:rPr>
        <w:t>n</w:t>
      </w:r>
      <w:r w:rsidRPr="00F44F14">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k</m:t>
            </m:r>
          </m:sub>
          <m:sup>
            <m:r>
              <w:rPr>
                <w:rFonts w:ascii="Cambria Math" w:hAnsi="Cambria Math" w:cs="Times New Roman"/>
              </w:rPr>
              <m:t>k</m:t>
            </m:r>
          </m:sup>
        </m:sSubSup>
        <m:r>
          <w:rPr>
            <w:rFonts w:ascii="Cambria Math" w:hAnsi="Cambria Math" w:cs="Times New Roman"/>
          </w:rPr>
          <m:t>=1</m:t>
        </m:r>
      </m:oMath>
      <w:r w:rsidRPr="00F44F14">
        <w:rPr>
          <w:rFonts w:ascii="Times New Roman" w:hAnsi="Times New Roman" w:cs="Times New Roman"/>
        </w:rPr>
        <w:t xml:space="preserve"> with all other </w:t>
      </w:r>
      <m:oMath>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j</m:t>
            </m:r>
          </m:sub>
          <m:sup>
            <m:r>
              <w:rPr>
                <w:rFonts w:ascii="Cambria Math" w:hAnsi="Cambria Math" w:cs="Times New Roman"/>
              </w:rPr>
              <m:t>k</m:t>
            </m:r>
          </m:sup>
        </m:sSubSup>
        <m:r>
          <w:rPr>
            <w:rFonts w:ascii="Cambria Math" w:hAnsi="Cambria Math" w:cs="Times New Roman"/>
          </w:rPr>
          <m:t>=0</m:t>
        </m:r>
      </m:oMath>
      <w:r w:rsidRPr="00F44F14">
        <w:rPr>
          <w:rFonts w:ascii="Times New Roman" w:hAnsi="Times New Roman" w:cs="Times New Roman"/>
        </w:rPr>
        <w:t xml:space="preserve"> for </w:t>
      </w:r>
      <m:oMath>
        <m:r>
          <w:rPr>
            <w:rFonts w:ascii="Cambria Math" w:hAnsi="Cambria Math" w:cs="Times New Roman"/>
          </w:rPr>
          <m:t>j≠k</m:t>
        </m:r>
      </m:oMath>
      <w:r w:rsidRPr="00F44F14">
        <w:rPr>
          <w:rFonts w:ascii="Times New Roman" w:hAnsi="Times New Roman" w:cs="Times New Roman"/>
        </w:rPr>
        <w:t xml:space="preserve">.  </w:t>
      </w:r>
      <w:r>
        <w:rPr>
          <w:rFonts w:ascii="Times New Roman" w:hAnsi="Times New Roman" w:cs="Times New Roman"/>
        </w:rPr>
        <w:t>In turn (4) implies that</w:t>
      </w:r>
      <w:r w:rsidRPr="00F44F14">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k</m:t>
            </m:r>
          </m:sup>
        </m:sSup>
        <m:r>
          <w:rPr>
            <w:rFonts w:ascii="Cambria Math" w:hAnsi="Cambria Math" w:cs="Times New Roman"/>
          </w:rPr>
          <m:t>=1</m:t>
        </m:r>
      </m:oMath>
      <w:r w:rsidRPr="00F44F14">
        <w:rPr>
          <w:rFonts w:ascii="Times New Roman" w:hAnsi="Times New Roman" w:cs="Times New Roman"/>
        </w:rPr>
        <w:t xml:space="preserve">. </w:t>
      </w:r>
    </w:p>
  </w:endnote>
  <w:endnote w:id="6">
    <w:p w14:paraId="602FC48C" w14:textId="4DA0FC01" w:rsidR="00605328" w:rsidRPr="00761EE7" w:rsidRDefault="00605328" w:rsidP="00761EE7">
      <w:pPr>
        <w:pStyle w:val="EndnoteText"/>
        <w:spacing w:line="360" w:lineRule="auto"/>
        <w:jc w:val="both"/>
        <w:rPr>
          <w:rFonts w:ascii="Times New Roman" w:hAnsi="Times New Roman" w:cs="Times New Roman"/>
        </w:rPr>
      </w:pPr>
      <w:r w:rsidRPr="00761EE7">
        <w:rPr>
          <w:rStyle w:val="EndnoteReference"/>
          <w:rFonts w:ascii="Times New Roman" w:hAnsi="Times New Roman" w:cs="Times New Roman"/>
        </w:rPr>
        <w:endnoteRef/>
      </w:r>
      <w:r w:rsidRPr="00761EE7">
        <w:rPr>
          <w:rFonts w:ascii="Times New Roman" w:hAnsi="Times New Roman" w:cs="Times New Roman"/>
        </w:rPr>
        <w:t xml:space="preserve"> Koopmans</w:t>
      </w:r>
      <w:r>
        <w:rPr>
          <w:rFonts w:ascii="Times New Roman" w:hAnsi="Times New Roman" w:cs="Times New Roman"/>
        </w:rPr>
        <w:t>’</w:t>
      </w:r>
      <w:r w:rsidRPr="00761EE7">
        <w:rPr>
          <w:rFonts w:ascii="Times New Roman" w:hAnsi="Times New Roman" w:cs="Times New Roman"/>
        </w:rPr>
        <w:t xml:space="preserve"> (1957) theorem states that industry maximum profit is equal to the sum of firms’ maximal profits as long as all firms face the same input and output prices.</w:t>
      </w:r>
    </w:p>
  </w:endnote>
  <w:endnote w:id="7">
    <w:p w14:paraId="7B291F91" w14:textId="5AD5A9F7" w:rsidR="00605328" w:rsidRPr="0054056E" w:rsidRDefault="00605328" w:rsidP="0054056E">
      <w:pPr>
        <w:pStyle w:val="EndnoteText"/>
        <w:spacing w:line="360" w:lineRule="auto"/>
        <w:jc w:val="both"/>
        <w:rPr>
          <w:rFonts w:ascii="Times New Roman" w:hAnsi="Times New Roman" w:cs="Times New Roman"/>
        </w:rPr>
      </w:pPr>
      <w:r w:rsidRPr="0054056E">
        <w:rPr>
          <w:rStyle w:val="EndnoteReference"/>
          <w:rFonts w:ascii="Times New Roman" w:hAnsi="Times New Roman" w:cs="Times New Roman"/>
        </w:rPr>
        <w:endnoteRef/>
      </w:r>
      <w:r>
        <w:rPr>
          <w:rFonts w:ascii="Times New Roman" w:hAnsi="Times New Roman" w:cs="Times New Roman"/>
        </w:rPr>
        <w:t xml:space="preserve">  In general however industry </w:t>
      </w:r>
      <w:r w:rsidRPr="0054056E">
        <w:rPr>
          <w:rFonts w:ascii="Times New Roman" w:hAnsi="Times New Roman" w:cs="Times New Roman"/>
        </w:rPr>
        <w:t>cost efficiency is equal to the share-weighting sum of DMU’s cost efficiencies, wi</w:t>
      </w:r>
      <w:r w:rsidR="00A86578">
        <w:rPr>
          <w:rFonts w:ascii="Times New Roman" w:hAnsi="Times New Roman" w:cs="Times New Roman"/>
        </w:rPr>
        <w:t>th the aggregation weights being their</w:t>
      </w:r>
      <w:r w:rsidRPr="0054056E">
        <w:rPr>
          <w:rFonts w:ascii="Times New Roman" w:hAnsi="Times New Roman" w:cs="Times New Roman"/>
        </w:rPr>
        <w:t xml:space="preserve"> share to industry total </w:t>
      </w:r>
      <w:r>
        <w:rPr>
          <w:rFonts w:ascii="Times New Roman" w:hAnsi="Times New Roman" w:cs="Times New Roman"/>
        </w:rPr>
        <w:t xml:space="preserve">(observed) </w:t>
      </w:r>
      <w:r w:rsidRPr="0054056E">
        <w:rPr>
          <w:rFonts w:ascii="Times New Roman" w:hAnsi="Times New Roman" w:cs="Times New Roman"/>
        </w:rPr>
        <w:t xml:space="preserve">cost (see e.g., </w:t>
      </w:r>
      <w:proofErr w:type="spellStart"/>
      <w:r w:rsidRPr="0054056E">
        <w:rPr>
          <w:rFonts w:ascii="Times New Roman" w:hAnsi="Times New Roman" w:cs="Times New Roman"/>
        </w:rPr>
        <w:t>Färe</w:t>
      </w:r>
      <w:proofErr w:type="spellEnd"/>
      <w:r w:rsidRPr="0054056E">
        <w:rPr>
          <w:rFonts w:ascii="Times New Roman" w:hAnsi="Times New Roman" w:cs="Times New Roman"/>
        </w:rPr>
        <w:t xml:space="preserve"> and </w:t>
      </w:r>
      <w:proofErr w:type="spellStart"/>
      <w:r w:rsidRPr="0054056E">
        <w:rPr>
          <w:rFonts w:ascii="Times New Roman" w:hAnsi="Times New Roman" w:cs="Times New Roman"/>
        </w:rPr>
        <w:t>Grosskopf</w:t>
      </w:r>
      <w:proofErr w:type="spellEnd"/>
      <w:r w:rsidRPr="0054056E">
        <w:rPr>
          <w:rFonts w:ascii="Times New Roman" w:hAnsi="Times New Roman" w:cs="Times New Roman"/>
        </w:rPr>
        <w:t>, 2004, pp. 118-19).</w:t>
      </w:r>
    </w:p>
  </w:endnote>
  <w:endnote w:id="8">
    <w:p w14:paraId="1CDD0738" w14:textId="23A1046C" w:rsidR="00605328" w:rsidRPr="00807FDA" w:rsidRDefault="00605328" w:rsidP="00807FDA">
      <w:pPr>
        <w:pStyle w:val="EndnoteText"/>
        <w:spacing w:line="360" w:lineRule="auto"/>
        <w:jc w:val="both"/>
        <w:rPr>
          <w:rFonts w:ascii="Times New Roman" w:hAnsi="Times New Roman" w:cs="Times New Roman"/>
        </w:rPr>
      </w:pPr>
      <w:r w:rsidRPr="00807FDA">
        <w:rPr>
          <w:rStyle w:val="EndnoteReference"/>
          <w:rFonts w:ascii="Times New Roman" w:hAnsi="Times New Roman" w:cs="Times New Roman"/>
        </w:rPr>
        <w:endnoteRef/>
      </w:r>
      <w:r>
        <w:rPr>
          <w:rFonts w:ascii="Times New Roman" w:hAnsi="Times New Roman" w:cs="Times New Roman"/>
        </w:rPr>
        <w:t xml:space="preserve"> Alternatively</w:t>
      </w:r>
      <w:r w:rsidRPr="00807FDA">
        <w:rPr>
          <w:rFonts w:ascii="Times New Roman" w:hAnsi="Times New Roman" w:cs="Times New Roman"/>
        </w:rPr>
        <w:t xml:space="preserve"> </w:t>
      </w:r>
      <w:r>
        <w:rPr>
          <w:rFonts w:ascii="Times New Roman" w:hAnsi="Times New Roman" w:cs="Times New Roman"/>
        </w:rPr>
        <w:t xml:space="preserve">one can </w:t>
      </w:r>
      <w:r w:rsidRPr="00807FDA">
        <w:rPr>
          <w:rFonts w:ascii="Times New Roman" w:hAnsi="Times New Roman" w:cs="Times New Roman"/>
        </w:rPr>
        <w:t>use the general cost efficiency aggregation ru</w:t>
      </w:r>
      <w:r>
        <w:rPr>
          <w:rFonts w:ascii="Times New Roman" w:hAnsi="Times New Roman" w:cs="Times New Roman"/>
        </w:rPr>
        <w:t>le as stated in footnote 7</w:t>
      </w:r>
      <w:r w:rsidRPr="00807FDA">
        <w:rPr>
          <w:rFonts w:ascii="Times New Roman" w:hAnsi="Times New Roman" w:cs="Times New Roman"/>
        </w:rPr>
        <w:t xml:space="preserve"> and then notice that the input shares </w:t>
      </w:r>
      <w:r>
        <w:rPr>
          <w:rFonts w:ascii="Times New Roman" w:hAnsi="Times New Roman" w:cs="Times New Roman"/>
        </w:rPr>
        <w:t xml:space="preserve">(i.e., </w:t>
      </w:r>
      <m:oMath>
        <m:nary>
          <m:naryPr>
            <m:chr m:val="∑"/>
            <m:limLoc m:val="subSup"/>
            <m:supHide m:val="1"/>
            <m:ctrlPr>
              <w:rPr>
                <w:rFonts w:ascii="Cambria Math" w:hAnsi="Cambria Math" w:cs="Times New Roman"/>
                <w:i/>
              </w:rPr>
            </m:ctrlPr>
          </m:naryPr>
          <m:sub>
            <m:r>
              <w:rPr>
                <w:rFonts w:ascii="Cambria Math" w:hAnsi="Cambria Math" w:cs="Times New Roman"/>
              </w:rPr>
              <m:t>r=1</m:t>
            </m:r>
          </m:sub>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r</m:t>
                </m:r>
              </m:sub>
            </m:sSub>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r</m:t>
                </m:r>
              </m:sub>
              <m:sup>
                <m:r>
                  <w:rPr>
                    <w:rFonts w:ascii="Cambria Math" w:hAnsi="Cambria Math" w:cs="Times New Roman"/>
                  </w:rPr>
                  <m:t>k</m:t>
                </m:r>
              </m:sup>
            </m:sSubSup>
          </m:e>
        </m:nary>
        <m:r>
          <w:rPr>
            <w:rFonts w:ascii="Cambria Math" w:hAnsi="Cambria Math" w:cs="Times New Roman"/>
          </w:rPr>
          <m:t xml:space="preserve">/ </m:t>
        </m:r>
        <m:nary>
          <m:naryPr>
            <m:chr m:val="∑"/>
            <m:limLoc m:val="subSup"/>
            <m:supHide m:val="1"/>
            <m:ctrlPr>
              <w:rPr>
                <w:rFonts w:ascii="Cambria Math" w:hAnsi="Cambria Math" w:cs="Times New Roman"/>
                <w:i/>
              </w:rPr>
            </m:ctrlPr>
          </m:naryPr>
          <m:sub>
            <m:r>
              <w:rPr>
                <w:rFonts w:ascii="Cambria Math" w:hAnsi="Cambria Math" w:cs="Times New Roman"/>
              </w:rPr>
              <m:t>k=1</m:t>
            </m:r>
          </m:sub>
          <m:sup/>
          <m:e>
            <m:nary>
              <m:naryPr>
                <m:chr m:val="∑"/>
                <m:limLoc m:val="subSup"/>
                <m:supHide m:val="1"/>
                <m:ctrlPr>
                  <w:rPr>
                    <w:rFonts w:ascii="Cambria Math" w:hAnsi="Cambria Math" w:cs="Times New Roman"/>
                    <w:i/>
                  </w:rPr>
                </m:ctrlPr>
              </m:naryPr>
              <m:sub>
                <m:r>
                  <w:rPr>
                    <w:rFonts w:ascii="Cambria Math" w:hAnsi="Cambria Math" w:cs="Times New Roman"/>
                  </w:rPr>
                  <m:t>r=1</m:t>
                </m:r>
              </m:sub>
              <m:sup/>
              <m:e>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r</m:t>
                    </m:r>
                  </m:sub>
                </m:sSub>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r</m:t>
                    </m:r>
                  </m:sub>
                  <m:sup>
                    <m:r>
                      <w:rPr>
                        <w:rFonts w:ascii="Cambria Math" w:hAnsi="Cambria Math" w:cs="Times New Roman"/>
                      </w:rPr>
                      <m:t>k</m:t>
                    </m:r>
                  </m:sup>
                </m:sSubSup>
              </m:e>
            </m:nary>
          </m:e>
        </m:nary>
        <w:proofErr w:type="gramStart"/>
        <m:r>
          <w:rPr>
            <w:rFonts w:ascii="Cambria Math" w:hAnsi="Cambria Math" w:cs="Times New Roman"/>
          </w:rPr>
          <m:t xml:space="preserve">) </m:t>
        </m:r>
      </m:oMath>
      <w:r>
        <w:rPr>
          <w:rFonts w:ascii="Times New Roman" w:hAnsi="Times New Roman" w:cs="Times New Roman"/>
        </w:rPr>
        <w:t xml:space="preserve"> </w:t>
      </w:r>
      <w:r w:rsidRPr="00807FDA">
        <w:rPr>
          <w:rFonts w:ascii="Times New Roman" w:hAnsi="Times New Roman" w:cs="Times New Roman"/>
        </w:rPr>
        <w:t>in</w:t>
      </w:r>
      <w:proofErr w:type="gramEnd"/>
      <w:r w:rsidRPr="00807FDA">
        <w:rPr>
          <w:rFonts w:ascii="Times New Roman" w:hAnsi="Times New Roman" w:cs="Times New Roman"/>
        </w:rPr>
        <w:t xml:space="preserve"> this case simplify to 1/K as all DMUs have the same amount (namely, one unit) of the single input and face the </w:t>
      </w:r>
      <w:r>
        <w:rPr>
          <w:rFonts w:ascii="Times New Roman" w:hAnsi="Times New Roman" w:cs="Times New Roman"/>
        </w:rPr>
        <w:t>same input price</w:t>
      </w:r>
      <w:r w:rsidRPr="00807FDA">
        <w:rPr>
          <w:rFonts w:ascii="Times New Roman" w:hAnsi="Times New Roman" w:cs="Times New Roman"/>
        </w:rPr>
        <w:t xml:space="preserve">.   </w:t>
      </w:r>
    </w:p>
  </w:endnote>
  <w:endnote w:id="9">
    <w:p w14:paraId="777C6142" w14:textId="5990D5EF" w:rsidR="00605328" w:rsidRDefault="00605328" w:rsidP="00624700">
      <w:pPr>
        <w:pStyle w:val="EndnoteText"/>
        <w:spacing w:line="360" w:lineRule="auto"/>
        <w:jc w:val="both"/>
      </w:pPr>
      <w:r>
        <w:rPr>
          <w:rStyle w:val="EndnoteReference"/>
        </w:rPr>
        <w:endnoteRef/>
      </w:r>
      <w:r>
        <w:t xml:space="preserve">  </w:t>
      </w:r>
      <w:r>
        <w:rPr>
          <w:rFonts w:ascii="Times New Roman" w:hAnsi="Times New Roman" w:cs="Times New Roman"/>
        </w:rPr>
        <w:t xml:space="preserve">We disregard books (textbooks or others) because in </w:t>
      </w:r>
      <w:proofErr w:type="gramStart"/>
      <w:r>
        <w:rPr>
          <w:rFonts w:ascii="Times New Roman" w:hAnsi="Times New Roman" w:cs="Times New Roman"/>
        </w:rPr>
        <w:t>their</w:t>
      </w:r>
      <w:proofErr w:type="gramEnd"/>
      <w:r>
        <w:rPr>
          <w:rFonts w:ascii="Times New Roman" w:hAnsi="Times New Roman" w:cs="Times New Roman"/>
        </w:rPr>
        <w:t xml:space="preserve"> majority have not gone through a formal referee process.  </w:t>
      </w:r>
    </w:p>
  </w:endnote>
  <w:endnote w:id="10">
    <w:p w14:paraId="4F4DC23A" w14:textId="6348EF6E" w:rsidR="00605328" w:rsidRPr="001C602D" w:rsidRDefault="00605328" w:rsidP="00605328">
      <w:pPr>
        <w:pStyle w:val="EndnoteText"/>
        <w:spacing w:line="360" w:lineRule="auto"/>
        <w:jc w:val="both"/>
        <w:rPr>
          <w:rFonts w:ascii="Times New Roman" w:hAnsi="Times New Roman" w:cs="Times New Roman"/>
        </w:rPr>
      </w:pPr>
      <w:r>
        <w:rPr>
          <w:rStyle w:val="EndnoteReference"/>
        </w:rPr>
        <w:endnoteRef/>
      </w:r>
      <w:r>
        <w:t xml:space="preserve">  </w:t>
      </w:r>
      <w:r>
        <w:rPr>
          <w:rFonts w:ascii="Times New Roman" w:hAnsi="Times New Roman" w:cs="Times New Roman"/>
        </w:rPr>
        <w:t xml:space="preserve">This increase is related to three new faculty members that jointed the department in 2003 and their journal article publication record was above the departmental average.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4477" w14:textId="77777777" w:rsidR="00605328" w:rsidRDefault="00605328" w:rsidP="001232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6B3C5" w14:textId="77777777" w:rsidR="00605328" w:rsidRDefault="006053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58FC8" w14:textId="77777777" w:rsidR="00605328" w:rsidRDefault="00605328" w:rsidP="001232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907">
      <w:rPr>
        <w:rStyle w:val="PageNumber"/>
        <w:noProof/>
      </w:rPr>
      <w:t>16</w:t>
    </w:r>
    <w:r>
      <w:rPr>
        <w:rStyle w:val="PageNumber"/>
      </w:rPr>
      <w:fldChar w:fldCharType="end"/>
    </w:r>
  </w:p>
  <w:p w14:paraId="1C915C10" w14:textId="77777777" w:rsidR="00605328" w:rsidRDefault="006053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58BD6" w14:textId="77777777" w:rsidR="00605328" w:rsidRDefault="00605328" w:rsidP="00942B99">
      <w:r>
        <w:separator/>
      </w:r>
    </w:p>
  </w:footnote>
  <w:footnote w:type="continuationSeparator" w:id="0">
    <w:p w14:paraId="1D69F38C" w14:textId="77777777" w:rsidR="00605328" w:rsidRDefault="00605328" w:rsidP="00942B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767"/>
    <w:multiLevelType w:val="hybridMultilevel"/>
    <w:tmpl w:val="F376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1269A"/>
    <w:multiLevelType w:val="hybridMultilevel"/>
    <w:tmpl w:val="0CC4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D9"/>
    <w:rsid w:val="00035DCF"/>
    <w:rsid w:val="00036061"/>
    <w:rsid w:val="00045351"/>
    <w:rsid w:val="0006759E"/>
    <w:rsid w:val="000806F8"/>
    <w:rsid w:val="00096E08"/>
    <w:rsid w:val="000A4E45"/>
    <w:rsid w:val="000A5914"/>
    <w:rsid w:val="000C1B08"/>
    <w:rsid w:val="001131D9"/>
    <w:rsid w:val="00113624"/>
    <w:rsid w:val="00120D48"/>
    <w:rsid w:val="001232F3"/>
    <w:rsid w:val="00124280"/>
    <w:rsid w:val="00131CF5"/>
    <w:rsid w:val="00140D88"/>
    <w:rsid w:val="00141EC4"/>
    <w:rsid w:val="0015064F"/>
    <w:rsid w:val="00166F1B"/>
    <w:rsid w:val="00172325"/>
    <w:rsid w:val="00174107"/>
    <w:rsid w:val="001771DD"/>
    <w:rsid w:val="001A4FD7"/>
    <w:rsid w:val="001C602D"/>
    <w:rsid w:val="001D767F"/>
    <w:rsid w:val="001E1C57"/>
    <w:rsid w:val="00210BA3"/>
    <w:rsid w:val="00216010"/>
    <w:rsid w:val="00221847"/>
    <w:rsid w:val="00222D10"/>
    <w:rsid w:val="00226F96"/>
    <w:rsid w:val="00232C18"/>
    <w:rsid w:val="002467ED"/>
    <w:rsid w:val="00252361"/>
    <w:rsid w:val="00254103"/>
    <w:rsid w:val="002829B0"/>
    <w:rsid w:val="002839B1"/>
    <w:rsid w:val="00283C1A"/>
    <w:rsid w:val="0029707F"/>
    <w:rsid w:val="002A2AB5"/>
    <w:rsid w:val="002A4EB8"/>
    <w:rsid w:val="002C24D7"/>
    <w:rsid w:val="002C7D19"/>
    <w:rsid w:val="002D5F71"/>
    <w:rsid w:val="002D750A"/>
    <w:rsid w:val="002E2D9A"/>
    <w:rsid w:val="002F331A"/>
    <w:rsid w:val="002F4C76"/>
    <w:rsid w:val="00315809"/>
    <w:rsid w:val="00315892"/>
    <w:rsid w:val="00317C50"/>
    <w:rsid w:val="003213E7"/>
    <w:rsid w:val="003249F9"/>
    <w:rsid w:val="00355DDB"/>
    <w:rsid w:val="003606E2"/>
    <w:rsid w:val="00367248"/>
    <w:rsid w:val="003720AC"/>
    <w:rsid w:val="00375BF8"/>
    <w:rsid w:val="00392DBA"/>
    <w:rsid w:val="003B38D7"/>
    <w:rsid w:val="003C6F47"/>
    <w:rsid w:val="003D4491"/>
    <w:rsid w:val="003E2C95"/>
    <w:rsid w:val="00402FF9"/>
    <w:rsid w:val="004224FC"/>
    <w:rsid w:val="00431567"/>
    <w:rsid w:val="004316FB"/>
    <w:rsid w:val="00465B22"/>
    <w:rsid w:val="00474966"/>
    <w:rsid w:val="0049110E"/>
    <w:rsid w:val="00495E94"/>
    <w:rsid w:val="004A439D"/>
    <w:rsid w:val="004A6845"/>
    <w:rsid w:val="004B715C"/>
    <w:rsid w:val="004D0C09"/>
    <w:rsid w:val="004F42E1"/>
    <w:rsid w:val="00505EAF"/>
    <w:rsid w:val="00521F2A"/>
    <w:rsid w:val="00533990"/>
    <w:rsid w:val="0054056E"/>
    <w:rsid w:val="005420A2"/>
    <w:rsid w:val="00550A03"/>
    <w:rsid w:val="00557BB3"/>
    <w:rsid w:val="00594B5D"/>
    <w:rsid w:val="00596B32"/>
    <w:rsid w:val="005A68A1"/>
    <w:rsid w:val="005A69C6"/>
    <w:rsid w:val="005A7373"/>
    <w:rsid w:val="005B1B67"/>
    <w:rsid w:val="005B30A7"/>
    <w:rsid w:val="006002CC"/>
    <w:rsid w:val="00603E83"/>
    <w:rsid w:val="00605328"/>
    <w:rsid w:val="00612699"/>
    <w:rsid w:val="00621635"/>
    <w:rsid w:val="00624700"/>
    <w:rsid w:val="00625906"/>
    <w:rsid w:val="00627C46"/>
    <w:rsid w:val="00632FEC"/>
    <w:rsid w:val="006417D4"/>
    <w:rsid w:val="006775AD"/>
    <w:rsid w:val="006B3369"/>
    <w:rsid w:val="006F158D"/>
    <w:rsid w:val="006F3AA6"/>
    <w:rsid w:val="00701A3B"/>
    <w:rsid w:val="00703512"/>
    <w:rsid w:val="00707624"/>
    <w:rsid w:val="00710CD1"/>
    <w:rsid w:val="00712B86"/>
    <w:rsid w:val="00732D1D"/>
    <w:rsid w:val="00741947"/>
    <w:rsid w:val="00752738"/>
    <w:rsid w:val="00761EE7"/>
    <w:rsid w:val="007738F4"/>
    <w:rsid w:val="00777A6C"/>
    <w:rsid w:val="007A521E"/>
    <w:rsid w:val="007B40E5"/>
    <w:rsid w:val="007D376D"/>
    <w:rsid w:val="007D4935"/>
    <w:rsid w:val="00807FDA"/>
    <w:rsid w:val="008261B1"/>
    <w:rsid w:val="0084556C"/>
    <w:rsid w:val="008461B1"/>
    <w:rsid w:val="00860ACD"/>
    <w:rsid w:val="00862B46"/>
    <w:rsid w:val="00864219"/>
    <w:rsid w:val="008914E8"/>
    <w:rsid w:val="008973CC"/>
    <w:rsid w:val="008A3A77"/>
    <w:rsid w:val="008B0F63"/>
    <w:rsid w:val="008B7EBA"/>
    <w:rsid w:val="008C2BBB"/>
    <w:rsid w:val="008D2590"/>
    <w:rsid w:val="008E7BF0"/>
    <w:rsid w:val="00913A81"/>
    <w:rsid w:val="00914ED9"/>
    <w:rsid w:val="00920ED0"/>
    <w:rsid w:val="0092322B"/>
    <w:rsid w:val="00926D19"/>
    <w:rsid w:val="009354A1"/>
    <w:rsid w:val="00942B99"/>
    <w:rsid w:val="00950150"/>
    <w:rsid w:val="009577DB"/>
    <w:rsid w:val="00984DBC"/>
    <w:rsid w:val="00993D3E"/>
    <w:rsid w:val="00995EA0"/>
    <w:rsid w:val="009D0E9C"/>
    <w:rsid w:val="00A01927"/>
    <w:rsid w:val="00A15E01"/>
    <w:rsid w:val="00A455CA"/>
    <w:rsid w:val="00A81C50"/>
    <w:rsid w:val="00A836AC"/>
    <w:rsid w:val="00A86578"/>
    <w:rsid w:val="00AE1329"/>
    <w:rsid w:val="00B00EB8"/>
    <w:rsid w:val="00B16990"/>
    <w:rsid w:val="00B31F0A"/>
    <w:rsid w:val="00B35F2D"/>
    <w:rsid w:val="00B36DBA"/>
    <w:rsid w:val="00B50149"/>
    <w:rsid w:val="00B65FA1"/>
    <w:rsid w:val="00B706CB"/>
    <w:rsid w:val="00B72E37"/>
    <w:rsid w:val="00B74E0A"/>
    <w:rsid w:val="00B8333C"/>
    <w:rsid w:val="00B94CDF"/>
    <w:rsid w:val="00BA105A"/>
    <w:rsid w:val="00BA11A3"/>
    <w:rsid w:val="00BA5E88"/>
    <w:rsid w:val="00BA6D04"/>
    <w:rsid w:val="00BC7BE7"/>
    <w:rsid w:val="00BE365E"/>
    <w:rsid w:val="00BF77B3"/>
    <w:rsid w:val="00C32D67"/>
    <w:rsid w:val="00C32F45"/>
    <w:rsid w:val="00C33FDD"/>
    <w:rsid w:val="00C430E0"/>
    <w:rsid w:val="00C519D1"/>
    <w:rsid w:val="00C54C2A"/>
    <w:rsid w:val="00C6425F"/>
    <w:rsid w:val="00C642D7"/>
    <w:rsid w:val="00C74544"/>
    <w:rsid w:val="00C9143A"/>
    <w:rsid w:val="00C97C95"/>
    <w:rsid w:val="00CC0F9B"/>
    <w:rsid w:val="00CD413F"/>
    <w:rsid w:val="00CE0660"/>
    <w:rsid w:val="00CE5285"/>
    <w:rsid w:val="00D011D6"/>
    <w:rsid w:val="00D068BD"/>
    <w:rsid w:val="00D46AE3"/>
    <w:rsid w:val="00D6153C"/>
    <w:rsid w:val="00D66228"/>
    <w:rsid w:val="00D717AB"/>
    <w:rsid w:val="00D748C7"/>
    <w:rsid w:val="00D80E98"/>
    <w:rsid w:val="00D81388"/>
    <w:rsid w:val="00D973E0"/>
    <w:rsid w:val="00DA0907"/>
    <w:rsid w:val="00DA7426"/>
    <w:rsid w:val="00DB7CB7"/>
    <w:rsid w:val="00DE214D"/>
    <w:rsid w:val="00DE2B03"/>
    <w:rsid w:val="00E170E3"/>
    <w:rsid w:val="00E30EA3"/>
    <w:rsid w:val="00E338AE"/>
    <w:rsid w:val="00E411C7"/>
    <w:rsid w:val="00E77018"/>
    <w:rsid w:val="00E82FF8"/>
    <w:rsid w:val="00EB6079"/>
    <w:rsid w:val="00EE77B1"/>
    <w:rsid w:val="00F03325"/>
    <w:rsid w:val="00F1275E"/>
    <w:rsid w:val="00F30F3E"/>
    <w:rsid w:val="00F44F14"/>
    <w:rsid w:val="00F73C4C"/>
    <w:rsid w:val="00F86237"/>
    <w:rsid w:val="00F95AF0"/>
    <w:rsid w:val="00FA03E6"/>
    <w:rsid w:val="00FA478B"/>
    <w:rsid w:val="00FA6CE6"/>
    <w:rsid w:val="00FC13FF"/>
    <w:rsid w:val="00FE10DB"/>
    <w:rsid w:val="00FF2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B2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1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D9"/>
    <w:pPr>
      <w:ind w:left="720"/>
      <w:contextualSpacing/>
    </w:pPr>
  </w:style>
  <w:style w:type="character" w:styleId="PlaceholderText">
    <w:name w:val="Placeholder Text"/>
    <w:basedOn w:val="DefaultParagraphFont"/>
    <w:uiPriority w:val="99"/>
    <w:semiHidden/>
    <w:rsid w:val="00C33FDD"/>
    <w:rPr>
      <w:color w:val="808080"/>
    </w:rPr>
  </w:style>
  <w:style w:type="paragraph" w:styleId="BalloonText">
    <w:name w:val="Balloon Text"/>
    <w:basedOn w:val="Normal"/>
    <w:link w:val="BalloonTextChar"/>
    <w:uiPriority w:val="99"/>
    <w:semiHidden/>
    <w:unhideWhenUsed/>
    <w:rsid w:val="00C33F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FDD"/>
    <w:rPr>
      <w:rFonts w:ascii="Lucida Grande" w:hAnsi="Lucida Grande" w:cs="Lucida Grande"/>
      <w:sz w:val="18"/>
      <w:szCs w:val="18"/>
    </w:rPr>
  </w:style>
  <w:style w:type="paragraph" w:styleId="EndnoteText">
    <w:name w:val="endnote text"/>
    <w:basedOn w:val="Normal"/>
    <w:link w:val="EndnoteTextChar"/>
    <w:uiPriority w:val="99"/>
    <w:unhideWhenUsed/>
    <w:rsid w:val="00942B99"/>
  </w:style>
  <w:style w:type="character" w:customStyle="1" w:styleId="EndnoteTextChar">
    <w:name w:val="Endnote Text Char"/>
    <w:basedOn w:val="DefaultParagraphFont"/>
    <w:link w:val="EndnoteText"/>
    <w:uiPriority w:val="99"/>
    <w:rsid w:val="00942B99"/>
  </w:style>
  <w:style w:type="character" w:styleId="EndnoteReference">
    <w:name w:val="endnote reference"/>
    <w:basedOn w:val="DefaultParagraphFont"/>
    <w:uiPriority w:val="99"/>
    <w:unhideWhenUsed/>
    <w:rsid w:val="00942B99"/>
    <w:rPr>
      <w:vertAlign w:val="superscript"/>
    </w:rPr>
  </w:style>
  <w:style w:type="paragraph" w:styleId="FootnoteText">
    <w:name w:val="footnote text"/>
    <w:basedOn w:val="Normal"/>
    <w:link w:val="FootnoteTextChar"/>
    <w:uiPriority w:val="99"/>
    <w:unhideWhenUsed/>
    <w:rsid w:val="00C642D7"/>
  </w:style>
  <w:style w:type="character" w:customStyle="1" w:styleId="FootnoteTextChar">
    <w:name w:val="Footnote Text Char"/>
    <w:basedOn w:val="DefaultParagraphFont"/>
    <w:link w:val="FootnoteText"/>
    <w:uiPriority w:val="99"/>
    <w:rsid w:val="00C642D7"/>
  </w:style>
  <w:style w:type="character" w:styleId="FootnoteReference">
    <w:name w:val="footnote reference"/>
    <w:basedOn w:val="DefaultParagraphFont"/>
    <w:uiPriority w:val="99"/>
    <w:unhideWhenUsed/>
    <w:rsid w:val="00C642D7"/>
    <w:rPr>
      <w:vertAlign w:val="superscript"/>
    </w:rPr>
  </w:style>
  <w:style w:type="character" w:styleId="Hyperlink">
    <w:name w:val="Hyperlink"/>
    <w:basedOn w:val="DefaultParagraphFont"/>
    <w:uiPriority w:val="99"/>
    <w:unhideWhenUsed/>
    <w:rsid w:val="00701A3B"/>
    <w:rPr>
      <w:color w:val="0000FF" w:themeColor="hyperlink"/>
      <w:u w:val="single"/>
    </w:rPr>
  </w:style>
  <w:style w:type="paragraph" w:styleId="Footer">
    <w:name w:val="footer"/>
    <w:basedOn w:val="Normal"/>
    <w:link w:val="FooterChar"/>
    <w:uiPriority w:val="99"/>
    <w:unhideWhenUsed/>
    <w:rsid w:val="00995EA0"/>
    <w:pPr>
      <w:tabs>
        <w:tab w:val="center" w:pos="4320"/>
        <w:tab w:val="right" w:pos="8640"/>
      </w:tabs>
    </w:pPr>
  </w:style>
  <w:style w:type="character" w:customStyle="1" w:styleId="FooterChar">
    <w:name w:val="Footer Char"/>
    <w:basedOn w:val="DefaultParagraphFont"/>
    <w:link w:val="Footer"/>
    <w:uiPriority w:val="99"/>
    <w:rsid w:val="00995EA0"/>
  </w:style>
  <w:style w:type="character" w:styleId="PageNumber">
    <w:name w:val="page number"/>
    <w:basedOn w:val="DefaultParagraphFont"/>
    <w:uiPriority w:val="99"/>
    <w:semiHidden/>
    <w:unhideWhenUsed/>
    <w:rsid w:val="00995EA0"/>
  </w:style>
  <w:style w:type="paragraph" w:styleId="NormalWeb">
    <w:name w:val="Normal (Web)"/>
    <w:basedOn w:val="Normal"/>
    <w:uiPriority w:val="99"/>
    <w:semiHidden/>
    <w:unhideWhenUsed/>
    <w:rsid w:val="00C519D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4B715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B715C"/>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4B715C"/>
    <w:pPr>
      <w:spacing w:before="120"/>
    </w:pPr>
    <w:rPr>
      <w:b/>
    </w:rPr>
  </w:style>
  <w:style w:type="paragraph" w:styleId="TOC2">
    <w:name w:val="toc 2"/>
    <w:basedOn w:val="Normal"/>
    <w:next w:val="Normal"/>
    <w:autoRedefine/>
    <w:uiPriority w:val="39"/>
    <w:semiHidden/>
    <w:unhideWhenUsed/>
    <w:rsid w:val="004B715C"/>
    <w:pPr>
      <w:ind w:left="240"/>
    </w:pPr>
    <w:rPr>
      <w:b/>
      <w:sz w:val="22"/>
      <w:szCs w:val="22"/>
    </w:rPr>
  </w:style>
  <w:style w:type="paragraph" w:styleId="TOC3">
    <w:name w:val="toc 3"/>
    <w:basedOn w:val="Normal"/>
    <w:next w:val="Normal"/>
    <w:autoRedefine/>
    <w:uiPriority w:val="39"/>
    <w:semiHidden/>
    <w:unhideWhenUsed/>
    <w:rsid w:val="004B715C"/>
    <w:pPr>
      <w:ind w:left="480"/>
    </w:pPr>
    <w:rPr>
      <w:sz w:val="22"/>
      <w:szCs w:val="22"/>
    </w:rPr>
  </w:style>
  <w:style w:type="paragraph" w:styleId="TOC4">
    <w:name w:val="toc 4"/>
    <w:basedOn w:val="Normal"/>
    <w:next w:val="Normal"/>
    <w:autoRedefine/>
    <w:uiPriority w:val="39"/>
    <w:semiHidden/>
    <w:unhideWhenUsed/>
    <w:rsid w:val="004B715C"/>
    <w:pPr>
      <w:ind w:left="720"/>
    </w:pPr>
    <w:rPr>
      <w:sz w:val="20"/>
      <w:szCs w:val="20"/>
    </w:rPr>
  </w:style>
  <w:style w:type="paragraph" w:styleId="TOC5">
    <w:name w:val="toc 5"/>
    <w:basedOn w:val="Normal"/>
    <w:next w:val="Normal"/>
    <w:autoRedefine/>
    <w:uiPriority w:val="39"/>
    <w:semiHidden/>
    <w:unhideWhenUsed/>
    <w:rsid w:val="004B715C"/>
    <w:pPr>
      <w:ind w:left="960"/>
    </w:pPr>
    <w:rPr>
      <w:sz w:val="20"/>
      <w:szCs w:val="20"/>
    </w:rPr>
  </w:style>
  <w:style w:type="paragraph" w:styleId="TOC6">
    <w:name w:val="toc 6"/>
    <w:basedOn w:val="Normal"/>
    <w:next w:val="Normal"/>
    <w:autoRedefine/>
    <w:uiPriority w:val="39"/>
    <w:semiHidden/>
    <w:unhideWhenUsed/>
    <w:rsid w:val="004B715C"/>
    <w:pPr>
      <w:ind w:left="1200"/>
    </w:pPr>
    <w:rPr>
      <w:sz w:val="20"/>
      <w:szCs w:val="20"/>
    </w:rPr>
  </w:style>
  <w:style w:type="paragraph" w:styleId="TOC7">
    <w:name w:val="toc 7"/>
    <w:basedOn w:val="Normal"/>
    <w:next w:val="Normal"/>
    <w:autoRedefine/>
    <w:uiPriority w:val="39"/>
    <w:semiHidden/>
    <w:unhideWhenUsed/>
    <w:rsid w:val="004B715C"/>
    <w:pPr>
      <w:ind w:left="1440"/>
    </w:pPr>
    <w:rPr>
      <w:sz w:val="20"/>
      <w:szCs w:val="20"/>
    </w:rPr>
  </w:style>
  <w:style w:type="paragraph" w:styleId="TOC8">
    <w:name w:val="toc 8"/>
    <w:basedOn w:val="Normal"/>
    <w:next w:val="Normal"/>
    <w:autoRedefine/>
    <w:uiPriority w:val="39"/>
    <w:semiHidden/>
    <w:unhideWhenUsed/>
    <w:rsid w:val="004B715C"/>
    <w:pPr>
      <w:ind w:left="1680"/>
    </w:pPr>
    <w:rPr>
      <w:sz w:val="20"/>
      <w:szCs w:val="20"/>
    </w:rPr>
  </w:style>
  <w:style w:type="paragraph" w:styleId="TOC9">
    <w:name w:val="toc 9"/>
    <w:basedOn w:val="Normal"/>
    <w:next w:val="Normal"/>
    <w:autoRedefine/>
    <w:uiPriority w:val="39"/>
    <w:semiHidden/>
    <w:unhideWhenUsed/>
    <w:rsid w:val="004B715C"/>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1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D9"/>
    <w:pPr>
      <w:ind w:left="720"/>
      <w:contextualSpacing/>
    </w:pPr>
  </w:style>
  <w:style w:type="character" w:styleId="PlaceholderText">
    <w:name w:val="Placeholder Text"/>
    <w:basedOn w:val="DefaultParagraphFont"/>
    <w:uiPriority w:val="99"/>
    <w:semiHidden/>
    <w:rsid w:val="00C33FDD"/>
    <w:rPr>
      <w:color w:val="808080"/>
    </w:rPr>
  </w:style>
  <w:style w:type="paragraph" w:styleId="BalloonText">
    <w:name w:val="Balloon Text"/>
    <w:basedOn w:val="Normal"/>
    <w:link w:val="BalloonTextChar"/>
    <w:uiPriority w:val="99"/>
    <w:semiHidden/>
    <w:unhideWhenUsed/>
    <w:rsid w:val="00C33F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FDD"/>
    <w:rPr>
      <w:rFonts w:ascii="Lucida Grande" w:hAnsi="Lucida Grande" w:cs="Lucida Grande"/>
      <w:sz w:val="18"/>
      <w:szCs w:val="18"/>
    </w:rPr>
  </w:style>
  <w:style w:type="paragraph" w:styleId="EndnoteText">
    <w:name w:val="endnote text"/>
    <w:basedOn w:val="Normal"/>
    <w:link w:val="EndnoteTextChar"/>
    <w:uiPriority w:val="99"/>
    <w:unhideWhenUsed/>
    <w:rsid w:val="00942B99"/>
  </w:style>
  <w:style w:type="character" w:customStyle="1" w:styleId="EndnoteTextChar">
    <w:name w:val="Endnote Text Char"/>
    <w:basedOn w:val="DefaultParagraphFont"/>
    <w:link w:val="EndnoteText"/>
    <w:uiPriority w:val="99"/>
    <w:rsid w:val="00942B99"/>
  </w:style>
  <w:style w:type="character" w:styleId="EndnoteReference">
    <w:name w:val="endnote reference"/>
    <w:basedOn w:val="DefaultParagraphFont"/>
    <w:uiPriority w:val="99"/>
    <w:unhideWhenUsed/>
    <w:rsid w:val="00942B99"/>
    <w:rPr>
      <w:vertAlign w:val="superscript"/>
    </w:rPr>
  </w:style>
  <w:style w:type="paragraph" w:styleId="FootnoteText">
    <w:name w:val="footnote text"/>
    <w:basedOn w:val="Normal"/>
    <w:link w:val="FootnoteTextChar"/>
    <w:uiPriority w:val="99"/>
    <w:unhideWhenUsed/>
    <w:rsid w:val="00C642D7"/>
  </w:style>
  <w:style w:type="character" w:customStyle="1" w:styleId="FootnoteTextChar">
    <w:name w:val="Footnote Text Char"/>
    <w:basedOn w:val="DefaultParagraphFont"/>
    <w:link w:val="FootnoteText"/>
    <w:uiPriority w:val="99"/>
    <w:rsid w:val="00C642D7"/>
  </w:style>
  <w:style w:type="character" w:styleId="FootnoteReference">
    <w:name w:val="footnote reference"/>
    <w:basedOn w:val="DefaultParagraphFont"/>
    <w:uiPriority w:val="99"/>
    <w:unhideWhenUsed/>
    <w:rsid w:val="00C642D7"/>
    <w:rPr>
      <w:vertAlign w:val="superscript"/>
    </w:rPr>
  </w:style>
  <w:style w:type="character" w:styleId="Hyperlink">
    <w:name w:val="Hyperlink"/>
    <w:basedOn w:val="DefaultParagraphFont"/>
    <w:uiPriority w:val="99"/>
    <w:unhideWhenUsed/>
    <w:rsid w:val="00701A3B"/>
    <w:rPr>
      <w:color w:val="0000FF" w:themeColor="hyperlink"/>
      <w:u w:val="single"/>
    </w:rPr>
  </w:style>
  <w:style w:type="paragraph" w:styleId="Footer">
    <w:name w:val="footer"/>
    <w:basedOn w:val="Normal"/>
    <w:link w:val="FooterChar"/>
    <w:uiPriority w:val="99"/>
    <w:unhideWhenUsed/>
    <w:rsid w:val="00995EA0"/>
    <w:pPr>
      <w:tabs>
        <w:tab w:val="center" w:pos="4320"/>
        <w:tab w:val="right" w:pos="8640"/>
      </w:tabs>
    </w:pPr>
  </w:style>
  <w:style w:type="character" w:customStyle="1" w:styleId="FooterChar">
    <w:name w:val="Footer Char"/>
    <w:basedOn w:val="DefaultParagraphFont"/>
    <w:link w:val="Footer"/>
    <w:uiPriority w:val="99"/>
    <w:rsid w:val="00995EA0"/>
  </w:style>
  <w:style w:type="character" w:styleId="PageNumber">
    <w:name w:val="page number"/>
    <w:basedOn w:val="DefaultParagraphFont"/>
    <w:uiPriority w:val="99"/>
    <w:semiHidden/>
    <w:unhideWhenUsed/>
    <w:rsid w:val="00995EA0"/>
  </w:style>
  <w:style w:type="paragraph" w:styleId="NormalWeb">
    <w:name w:val="Normal (Web)"/>
    <w:basedOn w:val="Normal"/>
    <w:uiPriority w:val="99"/>
    <w:semiHidden/>
    <w:unhideWhenUsed/>
    <w:rsid w:val="00C519D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4B715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4B715C"/>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4B715C"/>
    <w:pPr>
      <w:spacing w:before="120"/>
    </w:pPr>
    <w:rPr>
      <w:b/>
    </w:rPr>
  </w:style>
  <w:style w:type="paragraph" w:styleId="TOC2">
    <w:name w:val="toc 2"/>
    <w:basedOn w:val="Normal"/>
    <w:next w:val="Normal"/>
    <w:autoRedefine/>
    <w:uiPriority w:val="39"/>
    <w:semiHidden/>
    <w:unhideWhenUsed/>
    <w:rsid w:val="004B715C"/>
    <w:pPr>
      <w:ind w:left="240"/>
    </w:pPr>
    <w:rPr>
      <w:b/>
      <w:sz w:val="22"/>
      <w:szCs w:val="22"/>
    </w:rPr>
  </w:style>
  <w:style w:type="paragraph" w:styleId="TOC3">
    <w:name w:val="toc 3"/>
    <w:basedOn w:val="Normal"/>
    <w:next w:val="Normal"/>
    <w:autoRedefine/>
    <w:uiPriority w:val="39"/>
    <w:semiHidden/>
    <w:unhideWhenUsed/>
    <w:rsid w:val="004B715C"/>
    <w:pPr>
      <w:ind w:left="480"/>
    </w:pPr>
    <w:rPr>
      <w:sz w:val="22"/>
      <w:szCs w:val="22"/>
    </w:rPr>
  </w:style>
  <w:style w:type="paragraph" w:styleId="TOC4">
    <w:name w:val="toc 4"/>
    <w:basedOn w:val="Normal"/>
    <w:next w:val="Normal"/>
    <w:autoRedefine/>
    <w:uiPriority w:val="39"/>
    <w:semiHidden/>
    <w:unhideWhenUsed/>
    <w:rsid w:val="004B715C"/>
    <w:pPr>
      <w:ind w:left="720"/>
    </w:pPr>
    <w:rPr>
      <w:sz w:val="20"/>
      <w:szCs w:val="20"/>
    </w:rPr>
  </w:style>
  <w:style w:type="paragraph" w:styleId="TOC5">
    <w:name w:val="toc 5"/>
    <w:basedOn w:val="Normal"/>
    <w:next w:val="Normal"/>
    <w:autoRedefine/>
    <w:uiPriority w:val="39"/>
    <w:semiHidden/>
    <w:unhideWhenUsed/>
    <w:rsid w:val="004B715C"/>
    <w:pPr>
      <w:ind w:left="960"/>
    </w:pPr>
    <w:rPr>
      <w:sz w:val="20"/>
      <w:szCs w:val="20"/>
    </w:rPr>
  </w:style>
  <w:style w:type="paragraph" w:styleId="TOC6">
    <w:name w:val="toc 6"/>
    <w:basedOn w:val="Normal"/>
    <w:next w:val="Normal"/>
    <w:autoRedefine/>
    <w:uiPriority w:val="39"/>
    <w:semiHidden/>
    <w:unhideWhenUsed/>
    <w:rsid w:val="004B715C"/>
    <w:pPr>
      <w:ind w:left="1200"/>
    </w:pPr>
    <w:rPr>
      <w:sz w:val="20"/>
      <w:szCs w:val="20"/>
    </w:rPr>
  </w:style>
  <w:style w:type="paragraph" w:styleId="TOC7">
    <w:name w:val="toc 7"/>
    <w:basedOn w:val="Normal"/>
    <w:next w:val="Normal"/>
    <w:autoRedefine/>
    <w:uiPriority w:val="39"/>
    <w:semiHidden/>
    <w:unhideWhenUsed/>
    <w:rsid w:val="004B715C"/>
    <w:pPr>
      <w:ind w:left="1440"/>
    </w:pPr>
    <w:rPr>
      <w:sz w:val="20"/>
      <w:szCs w:val="20"/>
    </w:rPr>
  </w:style>
  <w:style w:type="paragraph" w:styleId="TOC8">
    <w:name w:val="toc 8"/>
    <w:basedOn w:val="Normal"/>
    <w:next w:val="Normal"/>
    <w:autoRedefine/>
    <w:uiPriority w:val="39"/>
    <w:semiHidden/>
    <w:unhideWhenUsed/>
    <w:rsid w:val="004B715C"/>
    <w:pPr>
      <w:ind w:left="1680"/>
    </w:pPr>
    <w:rPr>
      <w:sz w:val="20"/>
      <w:szCs w:val="20"/>
    </w:rPr>
  </w:style>
  <w:style w:type="paragraph" w:styleId="TOC9">
    <w:name w:val="toc 9"/>
    <w:basedOn w:val="Normal"/>
    <w:next w:val="Normal"/>
    <w:autoRedefine/>
    <w:uiPriority w:val="39"/>
    <w:semiHidden/>
    <w:unhideWhenUsed/>
    <w:rsid w:val="004B715C"/>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90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hyperlink" Target="http://www.biomedcentral.com/1472-6963-4-19"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ragian@uom.gr" TargetMode="External"/><Relationship Id="rId10"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aragiannis:Desktop:13%20JAN%202014:1:&#934;&#940;&#954;&#949;&#955;&#959;&#962;:meli_DEP.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karagiannis:Desktop:13%20JAN%202014:1:&#934;&#940;&#954;&#949;&#955;&#959;&#962;:meli_DEP.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karagiannis:Desktop:13%20JAN%202014:1:&#934;&#940;&#954;&#949;&#955;&#959;&#962;:meli_DEP.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0687874453598768"/>
          <c:y val="0.0925107297560846"/>
          <c:w val="0.856473769656689"/>
          <c:h val="0.766518587191672"/>
        </c:manualLayout>
      </c:layout>
      <c:barChart>
        <c:barDir val="col"/>
        <c:grouping val="clustered"/>
        <c:varyColors val="0"/>
        <c:ser>
          <c:idx val="0"/>
          <c:order val="0"/>
          <c:tx>
            <c:v>journal articles</c:v>
          </c:tx>
          <c:invertIfNegative val="0"/>
          <c:val>
            <c:numRef>
              <c:f>Φύλλο1!$U$3:$U$27</c:f>
              <c:numCache>
                <c:formatCode>0.00</c:formatCode>
                <c:ptCount val="25"/>
                <c:pt idx="0">
                  <c:v>0.555555555555556</c:v>
                </c:pt>
                <c:pt idx="1">
                  <c:v>1.333333333333333</c:v>
                </c:pt>
                <c:pt idx="2">
                  <c:v>1.0</c:v>
                </c:pt>
                <c:pt idx="3">
                  <c:v>0.777777777777778</c:v>
                </c:pt>
                <c:pt idx="4">
                  <c:v>2.888888888888887</c:v>
                </c:pt>
                <c:pt idx="5">
                  <c:v>1.111111111111111</c:v>
                </c:pt>
                <c:pt idx="6">
                  <c:v>1.222222222222222</c:v>
                </c:pt>
                <c:pt idx="7">
                  <c:v>1.111111111111111</c:v>
                </c:pt>
                <c:pt idx="8">
                  <c:v>1.444444444444444</c:v>
                </c:pt>
                <c:pt idx="9">
                  <c:v>0.555555555555556</c:v>
                </c:pt>
                <c:pt idx="10">
                  <c:v>1.222222222222222</c:v>
                </c:pt>
                <c:pt idx="11">
                  <c:v>2.555555555555555</c:v>
                </c:pt>
                <c:pt idx="12">
                  <c:v>0.222222222222222</c:v>
                </c:pt>
                <c:pt idx="13">
                  <c:v>0.0</c:v>
                </c:pt>
                <c:pt idx="14">
                  <c:v>0.0</c:v>
                </c:pt>
                <c:pt idx="15">
                  <c:v>1.0</c:v>
                </c:pt>
                <c:pt idx="16">
                  <c:v>1.0</c:v>
                </c:pt>
                <c:pt idx="17">
                  <c:v>4.666666666666667</c:v>
                </c:pt>
                <c:pt idx="18">
                  <c:v>0.444444444444444</c:v>
                </c:pt>
                <c:pt idx="19">
                  <c:v>1.88888888888889</c:v>
                </c:pt>
                <c:pt idx="20">
                  <c:v>1.444444444444444</c:v>
                </c:pt>
                <c:pt idx="21">
                  <c:v>0.444444444444444</c:v>
                </c:pt>
                <c:pt idx="22">
                  <c:v>1.333333333333333</c:v>
                </c:pt>
                <c:pt idx="23">
                  <c:v>0.222222222222222</c:v>
                </c:pt>
                <c:pt idx="24">
                  <c:v>0.222222222222222</c:v>
                </c:pt>
              </c:numCache>
            </c:numRef>
          </c:val>
        </c:ser>
        <c:ser>
          <c:idx val="1"/>
          <c:order val="1"/>
          <c:tx>
            <c:v>other</c:v>
          </c:tx>
          <c:invertIfNegative val="0"/>
          <c:val>
            <c:numRef>
              <c:f>Φύλλο1!$V$3:$V$27</c:f>
              <c:numCache>
                <c:formatCode>0.00</c:formatCode>
                <c:ptCount val="25"/>
                <c:pt idx="0">
                  <c:v>0.222222222222222</c:v>
                </c:pt>
                <c:pt idx="1">
                  <c:v>0.333333333333333</c:v>
                </c:pt>
                <c:pt idx="2">
                  <c:v>0.777777777777778</c:v>
                </c:pt>
                <c:pt idx="3">
                  <c:v>0.222222222222222</c:v>
                </c:pt>
                <c:pt idx="4">
                  <c:v>1.555555555555556</c:v>
                </c:pt>
                <c:pt idx="5">
                  <c:v>0.666666666666667</c:v>
                </c:pt>
                <c:pt idx="6">
                  <c:v>0.222222222222222</c:v>
                </c:pt>
                <c:pt idx="7">
                  <c:v>0.111111111111111</c:v>
                </c:pt>
                <c:pt idx="8">
                  <c:v>3.0</c:v>
                </c:pt>
                <c:pt idx="9">
                  <c:v>0.0</c:v>
                </c:pt>
                <c:pt idx="10">
                  <c:v>0.333333333333333</c:v>
                </c:pt>
                <c:pt idx="11">
                  <c:v>0.111111111111111</c:v>
                </c:pt>
                <c:pt idx="12">
                  <c:v>0.222222222222222</c:v>
                </c:pt>
                <c:pt idx="13">
                  <c:v>0.111111111111111</c:v>
                </c:pt>
                <c:pt idx="14">
                  <c:v>0.111111111111111</c:v>
                </c:pt>
                <c:pt idx="15">
                  <c:v>0.777777777777778</c:v>
                </c:pt>
                <c:pt idx="16">
                  <c:v>0.333333333333333</c:v>
                </c:pt>
                <c:pt idx="17">
                  <c:v>1.0</c:v>
                </c:pt>
                <c:pt idx="18">
                  <c:v>0.222222222222222</c:v>
                </c:pt>
                <c:pt idx="19">
                  <c:v>0.666666666666667</c:v>
                </c:pt>
                <c:pt idx="20">
                  <c:v>0.444444444444444</c:v>
                </c:pt>
                <c:pt idx="21">
                  <c:v>0.111111111111111</c:v>
                </c:pt>
                <c:pt idx="22">
                  <c:v>0.0</c:v>
                </c:pt>
                <c:pt idx="23">
                  <c:v>0.111111111111111</c:v>
                </c:pt>
                <c:pt idx="24">
                  <c:v>0.0</c:v>
                </c:pt>
              </c:numCache>
            </c:numRef>
          </c:val>
        </c:ser>
        <c:dLbls>
          <c:showLegendKey val="0"/>
          <c:showVal val="0"/>
          <c:showCatName val="0"/>
          <c:showSerName val="0"/>
          <c:showPercent val="0"/>
          <c:showBubbleSize val="0"/>
        </c:dLbls>
        <c:gapWidth val="150"/>
        <c:axId val="-2040216840"/>
        <c:axId val="-2037928488"/>
      </c:barChart>
      <c:catAx>
        <c:axId val="-2040216840"/>
        <c:scaling>
          <c:orientation val="minMax"/>
        </c:scaling>
        <c:delete val="0"/>
        <c:axPos val="b"/>
        <c:numFmt formatCode="General" sourceLinked="1"/>
        <c:majorTickMark val="out"/>
        <c:minorTickMark val="none"/>
        <c:tickLblPos val="nextTo"/>
        <c:txPr>
          <a:bodyPr rot="0" vert="horz"/>
          <a:lstStyle/>
          <a:p>
            <a:pPr>
              <a:defRPr/>
            </a:pPr>
            <a:endParaRPr lang="en-US"/>
          </a:p>
        </c:txPr>
        <c:crossAx val="-2037928488"/>
        <c:crosses val="autoZero"/>
        <c:auto val="1"/>
        <c:lblAlgn val="ctr"/>
        <c:lblOffset val="100"/>
        <c:tickLblSkip val="1"/>
        <c:tickMarkSkip val="1"/>
        <c:noMultiLvlLbl val="0"/>
      </c:catAx>
      <c:valAx>
        <c:axId val="-2037928488"/>
        <c:scaling>
          <c:orientation val="minMax"/>
        </c:scaling>
        <c:delete val="0"/>
        <c:axPos val="l"/>
        <c:numFmt formatCode="0.00" sourceLinked="1"/>
        <c:majorTickMark val="out"/>
        <c:minorTickMark val="none"/>
        <c:tickLblPos val="nextTo"/>
        <c:txPr>
          <a:bodyPr rot="0" vert="horz"/>
          <a:lstStyle/>
          <a:p>
            <a:pPr>
              <a:defRPr/>
            </a:pPr>
            <a:endParaRPr lang="en-US"/>
          </a:p>
        </c:txPr>
        <c:crossAx val="-2040216840"/>
        <c:crosses val="autoZero"/>
        <c:crossBetween val="between"/>
      </c:valAx>
    </c:plotArea>
    <c:legend>
      <c:legendPos val="r"/>
      <c:layout>
        <c:manualLayout>
          <c:xMode val="edge"/>
          <c:yMode val="edge"/>
          <c:x val="0.202807996457868"/>
          <c:y val="0.128910971217056"/>
          <c:w val="0.21165941780447"/>
          <c:h val="0.14958639858307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0765625584125964"/>
          <c:y val="0.111650485436893"/>
          <c:w val="0.917188199759063"/>
          <c:h val="0.786407766990291"/>
        </c:manualLayout>
      </c:layout>
      <c:barChart>
        <c:barDir val="col"/>
        <c:grouping val="clustered"/>
        <c:varyColors val="0"/>
        <c:ser>
          <c:idx val="0"/>
          <c:order val="0"/>
          <c:invertIfNegative val="0"/>
          <c:val>
            <c:numRef>
              <c:f>Φύλλο3!$M$28:$M$47</c:f>
              <c:numCache>
                <c:formatCode>0.000</c:formatCode>
                <c:ptCount val="20"/>
                <c:pt idx="0">
                  <c:v>0.148049182130328</c:v>
                </c:pt>
                <c:pt idx="1">
                  <c:v>0.288132670491407</c:v>
                </c:pt>
                <c:pt idx="2">
                  <c:v>0.34512618893506</c:v>
                </c:pt>
                <c:pt idx="3">
                  <c:v>0.280079232633247</c:v>
                </c:pt>
                <c:pt idx="4">
                  <c:v>0.963934426229508</c:v>
                </c:pt>
                <c:pt idx="5">
                  <c:v>0.436383407564007</c:v>
                </c:pt>
                <c:pt idx="6">
                  <c:v>0.387615410346093</c:v>
                </c:pt>
                <c:pt idx="7">
                  <c:v>0.318475456897687</c:v>
                </c:pt>
                <c:pt idx="8">
                  <c:v>0.973913043478261</c:v>
                </c:pt>
                <c:pt idx="9">
                  <c:v>0.222683705312973</c:v>
                </c:pt>
                <c:pt idx="10">
                  <c:v>0.377928889250733</c:v>
                </c:pt>
                <c:pt idx="11">
                  <c:v>0.760816960816961</c:v>
                </c:pt>
                <c:pt idx="12">
                  <c:v>0.109174313575914</c:v>
                </c:pt>
                <c:pt idx="13">
                  <c:v>0.316489581565319</c:v>
                </c:pt>
                <c:pt idx="14">
                  <c:v>0.183977708745563</c:v>
                </c:pt>
                <c:pt idx="15">
                  <c:v>0.607694385908035</c:v>
                </c:pt>
                <c:pt idx="16">
                  <c:v>0.228246340432684</c:v>
                </c:pt>
                <c:pt idx="17">
                  <c:v>0.30520506044939</c:v>
                </c:pt>
                <c:pt idx="18">
                  <c:v>0.34685381548132</c:v>
                </c:pt>
                <c:pt idx="19">
                  <c:v>0.324642233685701</c:v>
                </c:pt>
              </c:numCache>
            </c:numRef>
          </c:val>
        </c:ser>
        <c:dLbls>
          <c:showLegendKey val="0"/>
          <c:showVal val="0"/>
          <c:showCatName val="0"/>
          <c:showSerName val="0"/>
          <c:showPercent val="0"/>
          <c:showBubbleSize val="0"/>
        </c:dLbls>
        <c:gapWidth val="150"/>
        <c:axId val="-2143773944"/>
        <c:axId val="2126284328"/>
      </c:barChart>
      <c:catAx>
        <c:axId val="-2143773944"/>
        <c:scaling>
          <c:orientation val="minMax"/>
        </c:scaling>
        <c:delete val="0"/>
        <c:axPos val="b"/>
        <c:numFmt formatCode="General" sourceLinked="1"/>
        <c:majorTickMark val="out"/>
        <c:minorTickMark val="none"/>
        <c:tickLblPos val="nextTo"/>
        <c:txPr>
          <a:bodyPr rot="0" vert="horz"/>
          <a:lstStyle/>
          <a:p>
            <a:pPr>
              <a:defRPr/>
            </a:pPr>
            <a:endParaRPr lang="en-US"/>
          </a:p>
        </c:txPr>
        <c:crossAx val="2126284328"/>
        <c:crosses val="autoZero"/>
        <c:auto val="1"/>
        <c:lblAlgn val="ctr"/>
        <c:lblOffset val="100"/>
        <c:tickLblSkip val="1"/>
        <c:tickMarkSkip val="1"/>
        <c:noMultiLvlLbl val="0"/>
      </c:catAx>
      <c:valAx>
        <c:axId val="2126284328"/>
        <c:scaling>
          <c:orientation val="minMax"/>
        </c:scaling>
        <c:delete val="0"/>
        <c:axPos val="l"/>
        <c:numFmt formatCode="0.000" sourceLinked="1"/>
        <c:majorTickMark val="out"/>
        <c:minorTickMark val="none"/>
        <c:tickLblPos val="nextTo"/>
        <c:txPr>
          <a:bodyPr rot="0" vert="horz"/>
          <a:lstStyle/>
          <a:p>
            <a:pPr>
              <a:defRPr/>
            </a:pPr>
            <a:endParaRPr lang="en-US"/>
          </a:p>
        </c:txPr>
        <c:crossAx val="-21437739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Φύλλο3!$G$48:$K$48</c:f>
              <c:strCache>
                <c:ptCount val="5"/>
                <c:pt idx="0">
                  <c:v>2000-02</c:v>
                </c:pt>
                <c:pt idx="1">
                  <c:v>2001-03</c:v>
                </c:pt>
                <c:pt idx="2">
                  <c:v>2002-04</c:v>
                </c:pt>
                <c:pt idx="3">
                  <c:v>2003-05</c:v>
                </c:pt>
                <c:pt idx="4">
                  <c:v>2004-06</c:v>
                </c:pt>
              </c:strCache>
            </c:strRef>
          </c:cat>
          <c:val>
            <c:numRef>
              <c:f>Φύλλο3!$G$49:$K$49</c:f>
              <c:numCache>
                <c:formatCode>0.000</c:formatCode>
                <c:ptCount val="5"/>
                <c:pt idx="0">
                  <c:v>0.365138303619215</c:v>
                </c:pt>
                <c:pt idx="1">
                  <c:v>0.414168439030842</c:v>
                </c:pt>
                <c:pt idx="2">
                  <c:v>0.362725134201066</c:v>
                </c:pt>
                <c:pt idx="3">
                  <c:v>0.429615932460546</c:v>
                </c:pt>
                <c:pt idx="4">
                  <c:v>0.409707694170879</c:v>
                </c:pt>
              </c:numCache>
            </c:numRef>
          </c:val>
        </c:ser>
        <c:dLbls>
          <c:showLegendKey val="0"/>
          <c:showVal val="0"/>
          <c:showCatName val="0"/>
          <c:showSerName val="0"/>
          <c:showPercent val="0"/>
          <c:showBubbleSize val="0"/>
        </c:dLbls>
        <c:gapWidth val="150"/>
        <c:axId val="-2079395960"/>
        <c:axId val="-2037383128"/>
      </c:barChart>
      <c:catAx>
        <c:axId val="-2079395960"/>
        <c:scaling>
          <c:orientation val="minMax"/>
        </c:scaling>
        <c:delete val="0"/>
        <c:axPos val="b"/>
        <c:majorTickMark val="out"/>
        <c:minorTickMark val="none"/>
        <c:tickLblPos val="nextTo"/>
        <c:crossAx val="-2037383128"/>
        <c:crosses val="autoZero"/>
        <c:auto val="1"/>
        <c:lblAlgn val="ctr"/>
        <c:lblOffset val="100"/>
        <c:noMultiLvlLbl val="0"/>
      </c:catAx>
      <c:valAx>
        <c:axId val="-2037383128"/>
        <c:scaling>
          <c:orientation val="minMax"/>
        </c:scaling>
        <c:delete val="0"/>
        <c:axPos val="l"/>
        <c:numFmt formatCode="0.000" sourceLinked="1"/>
        <c:majorTickMark val="out"/>
        <c:minorTickMark val="none"/>
        <c:tickLblPos val="nextTo"/>
        <c:crossAx val="-20793959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E9EB-AE44-684B-99C4-CF6DFA8B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18</Pages>
  <Words>3782</Words>
  <Characters>21562</Characters>
  <Application>Microsoft Macintosh Word</Application>
  <DocSecurity>0</DocSecurity>
  <Lines>179</Lines>
  <Paragraphs>50</Paragraphs>
  <ScaleCrop>false</ScaleCrop>
  <Company/>
  <LinksUpToDate>false</LinksUpToDate>
  <CharactersWithSpaces>25294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cp:lastPrinted>2016-01-08T08:13:00Z</cp:lastPrinted>
  <dcterms:created xsi:type="dcterms:W3CDTF">2016-01-07T08:05:00Z</dcterms:created>
  <dcterms:modified xsi:type="dcterms:W3CDTF">2016-06-10T07:09:00Z</dcterms:modified>
</cp:coreProperties>
</file>